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28C7E" w14:textId="77777777" w:rsidR="000D772C" w:rsidRDefault="00D374D3" w:rsidP="000D772C">
      <w:pPr>
        <w:tabs>
          <w:tab w:val="center" w:pos="4536"/>
          <w:tab w:val="right" w:pos="8280"/>
          <w:tab w:val="right" w:pos="9639"/>
        </w:tabs>
        <w:ind w:right="2"/>
        <w:rPr>
          <w:rFonts w:ascii="Arial" w:hAnsi="Arial" w:cs="Arial"/>
          <w:b/>
          <w:bCs/>
          <w:sz w:val="24"/>
          <w:szCs w:val="18"/>
        </w:rPr>
      </w:pPr>
      <w:bookmarkStart w:id="0" w:name="OLE_LINK1"/>
      <w:bookmarkStart w:id="1" w:name="OLE_LINK2"/>
      <w:bookmarkStart w:id="2" w:name="_Ref190406817"/>
      <w:bookmarkStart w:id="3" w:name="_Toc226862296"/>
      <w:bookmarkStart w:id="4" w:name="_Toc347823621"/>
      <w:bookmarkStart w:id="5" w:name="_Toc347824073"/>
      <w:bookmarkStart w:id="6" w:name="_Toc347824246"/>
      <w:r w:rsidRPr="00D374D3">
        <w:rPr>
          <w:rFonts w:ascii="Arial" w:hAnsi="Arial" w:cs="Arial"/>
          <w:b/>
          <w:bCs/>
          <w:sz w:val="24"/>
          <w:szCs w:val="18"/>
        </w:rPr>
        <w:t>3GPP TSG RAN WG1 Meeting #92</w:t>
      </w:r>
      <w:r w:rsidRPr="00D374D3">
        <w:rPr>
          <w:rFonts w:ascii="Arial" w:hAnsi="Arial" w:cs="Arial"/>
          <w:b/>
          <w:bCs/>
          <w:sz w:val="24"/>
          <w:szCs w:val="18"/>
        </w:rPr>
        <w:tab/>
      </w:r>
      <w:r w:rsidRPr="00D374D3">
        <w:rPr>
          <w:rFonts w:ascii="Arial" w:hAnsi="Arial" w:cs="Arial"/>
          <w:b/>
          <w:bCs/>
          <w:sz w:val="24"/>
          <w:szCs w:val="18"/>
        </w:rPr>
        <w:tab/>
      </w:r>
      <w:r w:rsidRPr="00D374D3">
        <w:rPr>
          <w:rFonts w:ascii="Arial" w:hAnsi="Arial" w:cs="Arial"/>
          <w:b/>
          <w:bCs/>
          <w:sz w:val="24"/>
          <w:szCs w:val="18"/>
        </w:rPr>
        <w:tab/>
      </w:r>
      <w:r w:rsidR="000D772C" w:rsidRPr="000D772C">
        <w:rPr>
          <w:rFonts w:ascii="Arial" w:hAnsi="Arial" w:cs="Arial"/>
          <w:b/>
          <w:bCs/>
          <w:sz w:val="24"/>
          <w:szCs w:val="18"/>
        </w:rPr>
        <w:t>R1-1802532</w:t>
      </w:r>
    </w:p>
    <w:p w14:paraId="0055E4E9" w14:textId="61ABD9E2" w:rsidR="00D374D3" w:rsidRPr="00D374D3" w:rsidRDefault="00D374D3" w:rsidP="000D772C">
      <w:pPr>
        <w:tabs>
          <w:tab w:val="center" w:pos="4536"/>
          <w:tab w:val="right" w:pos="8280"/>
          <w:tab w:val="right" w:pos="9639"/>
        </w:tabs>
        <w:ind w:right="2"/>
        <w:rPr>
          <w:rFonts w:ascii="Arial" w:eastAsia="MS Mincho" w:hAnsi="Arial" w:cs="Arial"/>
          <w:b/>
          <w:bCs/>
          <w:sz w:val="24"/>
          <w:szCs w:val="18"/>
          <w:lang w:eastAsia="ja-JP"/>
        </w:rPr>
      </w:pPr>
      <w:bookmarkStart w:id="7" w:name="_GoBack"/>
      <w:bookmarkEnd w:id="7"/>
      <w:r w:rsidRPr="00D374D3">
        <w:rPr>
          <w:rFonts w:ascii="Arial" w:eastAsia="MS Mincho" w:hAnsi="Arial" w:cs="Arial"/>
          <w:b/>
          <w:bCs/>
          <w:sz w:val="24"/>
          <w:szCs w:val="18"/>
          <w:lang w:eastAsia="ja-JP"/>
        </w:rPr>
        <w:t>Athens, Greece, February 26</w:t>
      </w:r>
      <w:r w:rsidRPr="00D374D3">
        <w:rPr>
          <w:rFonts w:ascii="Arial" w:eastAsia="MS Mincho" w:hAnsi="Arial" w:cs="Arial"/>
          <w:b/>
          <w:bCs/>
          <w:sz w:val="24"/>
          <w:szCs w:val="18"/>
          <w:vertAlign w:val="superscript"/>
          <w:lang w:eastAsia="ja-JP"/>
        </w:rPr>
        <w:t>th</w:t>
      </w:r>
      <w:r w:rsidRPr="00D374D3">
        <w:rPr>
          <w:rFonts w:ascii="Arial" w:eastAsia="MS Mincho" w:hAnsi="Arial" w:cs="Arial"/>
          <w:b/>
          <w:bCs/>
          <w:sz w:val="24"/>
          <w:szCs w:val="18"/>
          <w:lang w:eastAsia="ja-JP"/>
        </w:rPr>
        <w:t xml:space="preserve"> – March 2</w:t>
      </w:r>
      <w:r w:rsidRPr="00D374D3">
        <w:rPr>
          <w:rFonts w:ascii="Arial" w:eastAsia="MS Mincho" w:hAnsi="Arial" w:cs="Arial"/>
          <w:b/>
          <w:bCs/>
          <w:sz w:val="24"/>
          <w:szCs w:val="18"/>
          <w:vertAlign w:val="superscript"/>
          <w:lang w:eastAsia="ja-JP"/>
        </w:rPr>
        <w:t>nd</w:t>
      </w:r>
      <w:r w:rsidRPr="00D374D3">
        <w:rPr>
          <w:rFonts w:ascii="Arial" w:eastAsia="MS Mincho" w:hAnsi="Arial" w:cs="Arial"/>
          <w:b/>
          <w:bCs/>
          <w:sz w:val="24"/>
          <w:szCs w:val="18"/>
          <w:lang w:eastAsia="ja-JP"/>
        </w:rPr>
        <w:t xml:space="preserve">, 2018 </w:t>
      </w:r>
    </w:p>
    <w:p w14:paraId="2558B430" w14:textId="77777777" w:rsidR="00BB4ED8" w:rsidRDefault="00BB4ED8" w:rsidP="00FE2996">
      <w:pPr>
        <w:pStyle w:val="TdocHeader2"/>
        <w:jc w:val="both"/>
        <w:rPr>
          <w:sz w:val="22"/>
        </w:rPr>
      </w:pPr>
    </w:p>
    <w:p w14:paraId="5705654F" w14:textId="77777777" w:rsidR="00BB4ED8" w:rsidRDefault="00BB4ED8" w:rsidP="00FE2996">
      <w:pPr>
        <w:pStyle w:val="TdocHeader2"/>
        <w:jc w:val="both"/>
        <w:rPr>
          <w:sz w:val="20"/>
        </w:rPr>
      </w:pPr>
      <w:r>
        <w:rPr>
          <w:sz w:val="20"/>
        </w:rPr>
        <w:t xml:space="preserve">Source: </w:t>
      </w:r>
      <w:r>
        <w:rPr>
          <w:sz w:val="20"/>
        </w:rPr>
        <w:tab/>
        <w:t>Ericsson</w:t>
      </w:r>
    </w:p>
    <w:p w14:paraId="5E56E2FC" w14:textId="0814A33C" w:rsidR="00BB4ED8" w:rsidRPr="00BB4ED8" w:rsidRDefault="00BB4ED8" w:rsidP="00FE2996">
      <w:pPr>
        <w:pStyle w:val="TdocHeader2"/>
        <w:jc w:val="both"/>
        <w:rPr>
          <w:sz w:val="20"/>
        </w:rPr>
      </w:pPr>
      <w:r>
        <w:rPr>
          <w:sz w:val="20"/>
        </w:rPr>
        <w:t>Title:</w:t>
      </w:r>
      <w:bookmarkStart w:id="8" w:name="Title"/>
      <w:bookmarkEnd w:id="8"/>
      <w:r>
        <w:rPr>
          <w:sz w:val="20"/>
        </w:rPr>
        <w:tab/>
      </w:r>
      <w:r w:rsidR="00293306" w:rsidRPr="00293306">
        <w:rPr>
          <w:sz w:val="20"/>
        </w:rPr>
        <w:t>on AUL Configuration and Activation</w:t>
      </w:r>
    </w:p>
    <w:p w14:paraId="4AA45329" w14:textId="29085ADF" w:rsidR="00BB4ED8" w:rsidRDefault="00BB4ED8" w:rsidP="00FE2996">
      <w:pPr>
        <w:pStyle w:val="TdocHeader2"/>
        <w:jc w:val="both"/>
        <w:rPr>
          <w:sz w:val="20"/>
        </w:rPr>
      </w:pPr>
      <w:r w:rsidRPr="00D02A3E">
        <w:rPr>
          <w:sz w:val="20"/>
        </w:rPr>
        <w:t>Agenda Item:</w:t>
      </w:r>
      <w:r w:rsidRPr="00D02A3E">
        <w:rPr>
          <w:sz w:val="20"/>
        </w:rPr>
        <w:tab/>
      </w:r>
      <w:r w:rsidR="00F71F95" w:rsidRPr="00F71F95">
        <w:rPr>
          <w:bCs/>
          <w:iCs/>
          <w:sz w:val="20"/>
        </w:rPr>
        <w:t>6.2.2.2.1</w:t>
      </w:r>
    </w:p>
    <w:p w14:paraId="36030964" w14:textId="45B2588D" w:rsidR="00625B29" w:rsidRPr="00BB4ED8" w:rsidRDefault="00BB4ED8" w:rsidP="00FE2996">
      <w:pPr>
        <w:pStyle w:val="TdocHeader2"/>
        <w:jc w:val="both"/>
        <w:rPr>
          <w:sz w:val="20"/>
        </w:rPr>
      </w:pPr>
      <w:r>
        <w:rPr>
          <w:sz w:val="20"/>
        </w:rPr>
        <w:t>Document for:</w:t>
      </w:r>
      <w:r>
        <w:rPr>
          <w:sz w:val="20"/>
        </w:rPr>
        <w:tab/>
        <w:t>Discussion and Decision</w:t>
      </w:r>
      <w:bookmarkEnd w:id="0"/>
      <w:bookmarkEnd w:id="1"/>
      <w:bookmarkEnd w:id="2"/>
      <w:bookmarkEnd w:id="3"/>
      <w:bookmarkEnd w:id="4"/>
      <w:bookmarkEnd w:id="5"/>
      <w:bookmarkEnd w:id="6"/>
    </w:p>
    <w:p w14:paraId="57000AD7" w14:textId="117E54B0" w:rsidR="00965A74" w:rsidRPr="00DB291C" w:rsidRDefault="00625B29" w:rsidP="00DB291C">
      <w:pPr>
        <w:pStyle w:val="Heading1"/>
        <w:jc w:val="both"/>
      </w:pPr>
      <w:r w:rsidRPr="00CE0424">
        <w:t>Introduction</w:t>
      </w:r>
    </w:p>
    <w:p w14:paraId="00720897" w14:textId="1D1E22F3" w:rsidR="00C47C84" w:rsidRPr="00C47C84" w:rsidRDefault="00C47C84" w:rsidP="00FE2996">
      <w:pPr>
        <w:jc w:val="both"/>
      </w:pPr>
      <w:r w:rsidRPr="00C47C84">
        <w:t>Related to the AUL resource allocation and configuration the followin</w:t>
      </w:r>
      <w:r w:rsidR="00DB291C">
        <w:t xml:space="preserve">g agreements are made until now [1][2][3]: </w:t>
      </w:r>
      <w:r w:rsidRPr="00C47C84">
        <w:t xml:space="preserve"> </w:t>
      </w:r>
    </w:p>
    <w:p w14:paraId="5D690048" w14:textId="62FC345F" w:rsidR="00C47C84" w:rsidRPr="00282312" w:rsidRDefault="00C47C84" w:rsidP="005A0519">
      <w:pPr>
        <w:spacing w:after="0"/>
        <w:ind w:left="36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highlight w:val="green"/>
          <w:lang w:eastAsia="ja-JP"/>
        </w:rPr>
        <w:t>Agreements:</w:t>
      </w:r>
    </w:p>
    <w:p w14:paraId="203CA6C5" w14:textId="77777777" w:rsidR="00C47C84" w:rsidRPr="00282312"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AUL operation is UE specifically RRC configured</w:t>
      </w:r>
    </w:p>
    <w:p w14:paraId="51D69A86" w14:textId="77777777" w:rsidR="00C47C84" w:rsidRPr="00282312" w:rsidRDefault="00C47C84" w:rsidP="00E852D1">
      <w:pPr>
        <w:numPr>
          <w:ilvl w:val="1"/>
          <w:numId w:val="14"/>
        </w:numPr>
        <w:tabs>
          <w:tab w:val="clear" w:pos="1440"/>
          <w:tab w:val="num" w:pos="1800"/>
        </w:tabs>
        <w:spacing w:after="0" w:line="240" w:lineRule="auto"/>
        <w:ind w:left="180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The time-domain resources for AUL operation are RRC configured</w:t>
      </w:r>
    </w:p>
    <w:p w14:paraId="30F2E10B" w14:textId="77777777" w:rsidR="00C47C84" w:rsidRPr="00282312" w:rsidRDefault="00C47C84" w:rsidP="00E852D1">
      <w:pPr>
        <w:numPr>
          <w:ilvl w:val="2"/>
          <w:numId w:val="14"/>
        </w:numPr>
        <w:tabs>
          <w:tab w:val="clear" w:pos="2160"/>
          <w:tab w:val="num" w:pos="2520"/>
        </w:tabs>
        <w:spacing w:after="0" w:line="240" w:lineRule="auto"/>
        <w:ind w:left="252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FFS: configuration details (e.g. subframe bitmap or a periodic configuration, etc.)</w:t>
      </w:r>
    </w:p>
    <w:p w14:paraId="70B03F15" w14:textId="77777777" w:rsidR="00C47C84" w:rsidRPr="00282312"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Activation and deactivation of AUL operation is supported using a DCI with its CRC scrambled with a specific RNTI</w:t>
      </w:r>
    </w:p>
    <w:p w14:paraId="3470EB89" w14:textId="77777777" w:rsidR="00C47C84" w:rsidRPr="00282312" w:rsidRDefault="00C47C84" w:rsidP="00E852D1">
      <w:pPr>
        <w:numPr>
          <w:ilvl w:val="1"/>
          <w:numId w:val="14"/>
        </w:numPr>
        <w:tabs>
          <w:tab w:val="clear" w:pos="1440"/>
          <w:tab w:val="num" w:pos="1800"/>
        </w:tabs>
        <w:spacing w:after="0" w:line="240" w:lineRule="auto"/>
        <w:ind w:left="1800"/>
        <w:jc w:val="both"/>
        <w:rPr>
          <w:rFonts w:asciiTheme="majorBidi" w:eastAsia="MS Mincho" w:hAnsiTheme="majorBidi" w:cstheme="majorBidi"/>
          <w:color w:val="000000"/>
          <w:sz w:val="20"/>
          <w:szCs w:val="20"/>
          <w:lang w:val="fi-FI" w:eastAsia="ja-JP"/>
        </w:rPr>
      </w:pPr>
      <w:r w:rsidRPr="00282312">
        <w:rPr>
          <w:rFonts w:asciiTheme="majorBidi" w:eastAsia="MS Mincho" w:hAnsiTheme="majorBidi" w:cstheme="majorBidi"/>
          <w:color w:val="000000"/>
          <w:sz w:val="20"/>
          <w:szCs w:val="20"/>
          <w:lang w:eastAsia="ja-JP"/>
        </w:rPr>
        <w:t xml:space="preserve">FFS which DCI format </w:t>
      </w:r>
    </w:p>
    <w:p w14:paraId="6B08B79D" w14:textId="77777777" w:rsidR="00C47C84" w:rsidRPr="00282312" w:rsidRDefault="00C47C84" w:rsidP="00E852D1">
      <w:pPr>
        <w:numPr>
          <w:ilvl w:val="1"/>
          <w:numId w:val="14"/>
        </w:numPr>
        <w:tabs>
          <w:tab w:val="clear" w:pos="1440"/>
          <w:tab w:val="num" w:pos="1800"/>
        </w:tabs>
        <w:spacing w:after="0" w:line="240" w:lineRule="auto"/>
        <w:ind w:left="180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FFS whether the RNTI is the SPS RNTI or a new RNTI</w:t>
      </w:r>
    </w:p>
    <w:p w14:paraId="487901DD" w14:textId="77777777" w:rsidR="00C47C84" w:rsidRPr="00282312"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FFS: additional limitations to AUL subframes e.g. depending on scheduled transmissions</w:t>
      </w:r>
    </w:p>
    <w:p w14:paraId="654950A0" w14:textId="77777777" w:rsidR="00C47C84" w:rsidRPr="00282312"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FFS: whether in addition to the RRC configured subframes also other subframes can be dynamically enabled for AUL</w:t>
      </w:r>
    </w:p>
    <w:p w14:paraId="48A7060E" w14:textId="77777777" w:rsidR="00C47C84" w:rsidRPr="00282312"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Frequency domain resources (i.e. interlaces) for AUL transmissions are indicated to the UE by the eNodeB via the Activation DCI </w:t>
      </w:r>
    </w:p>
    <w:p w14:paraId="4AA0318F" w14:textId="16D5149B" w:rsidR="00C47C84" w:rsidRDefault="00C47C84" w:rsidP="00E852D1">
      <w:pPr>
        <w:numPr>
          <w:ilvl w:val="0"/>
          <w:numId w:val="14"/>
        </w:numPr>
        <w:tabs>
          <w:tab w:val="clear" w:pos="720"/>
          <w:tab w:val="num" w:pos="1080"/>
        </w:tabs>
        <w:spacing w:after="0" w:line="240" w:lineRule="auto"/>
        <w:ind w:left="1080"/>
        <w:jc w:val="both"/>
        <w:rPr>
          <w:rFonts w:asciiTheme="majorBidi" w:eastAsia="MS Mincho" w:hAnsiTheme="majorBidi" w:cstheme="majorBidi"/>
          <w:color w:val="000000"/>
          <w:sz w:val="20"/>
          <w:szCs w:val="20"/>
          <w:lang w:eastAsia="ja-JP"/>
        </w:rPr>
      </w:pPr>
      <w:r w:rsidRPr="00282312">
        <w:rPr>
          <w:rFonts w:asciiTheme="majorBidi" w:eastAsia="MS Mincho" w:hAnsiTheme="majorBidi" w:cstheme="majorBidi"/>
          <w:color w:val="000000"/>
          <w:sz w:val="20"/>
          <w:szCs w:val="20"/>
          <w:lang w:eastAsia="ja-JP"/>
        </w:rPr>
        <w:t xml:space="preserve">The MCS of AUL transmissions is indicated to the UE by the eNodeB via the Activation DCI </w:t>
      </w:r>
    </w:p>
    <w:p w14:paraId="0784414C" w14:textId="77C9C2EB" w:rsidR="005A0519" w:rsidRDefault="005A0519" w:rsidP="005A0519">
      <w:pPr>
        <w:spacing w:after="0" w:line="240" w:lineRule="auto"/>
        <w:jc w:val="both"/>
        <w:rPr>
          <w:rFonts w:asciiTheme="majorBidi" w:eastAsia="MS Mincho" w:hAnsiTheme="majorBidi" w:cstheme="majorBidi"/>
          <w:color w:val="000000"/>
          <w:sz w:val="20"/>
          <w:szCs w:val="20"/>
          <w:lang w:eastAsia="ja-JP"/>
        </w:rPr>
      </w:pPr>
    </w:p>
    <w:p w14:paraId="1EE079C1" w14:textId="77777777" w:rsidR="005A0519" w:rsidRPr="005A0519" w:rsidRDefault="005A0519" w:rsidP="005A0519">
      <w:pPr>
        <w:spacing w:after="0"/>
        <w:ind w:left="360"/>
        <w:jc w:val="both"/>
        <w:rPr>
          <w:rFonts w:asciiTheme="majorBidi" w:eastAsia="MS Mincho" w:hAnsiTheme="majorBidi" w:cstheme="majorBidi"/>
          <w:color w:val="000000"/>
          <w:sz w:val="20"/>
          <w:szCs w:val="20"/>
          <w:highlight w:val="green"/>
          <w:lang w:eastAsia="ja-JP"/>
        </w:rPr>
      </w:pPr>
      <w:r w:rsidRPr="005A0519">
        <w:rPr>
          <w:rFonts w:asciiTheme="majorBidi" w:eastAsia="MS Mincho" w:hAnsiTheme="majorBidi" w:cstheme="majorBidi"/>
          <w:color w:val="000000"/>
          <w:sz w:val="20"/>
          <w:szCs w:val="20"/>
          <w:highlight w:val="green"/>
          <w:lang w:eastAsia="ja-JP"/>
        </w:rPr>
        <w:t xml:space="preserve">Agreement: </w:t>
      </w:r>
    </w:p>
    <w:p w14:paraId="24ABB15D"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AUL subframes are indicated to UE with an RRC-configured bitmap</w:t>
      </w:r>
    </w:p>
    <w:p w14:paraId="188A686A" w14:textId="755FF036"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AUL supports both TM1 and TM2</w:t>
      </w:r>
    </w:p>
    <w:p w14:paraId="4EE2764D"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 xml:space="preserve">For TM1, DCI format 0A is used for AUL activation / deactivation  </w:t>
      </w:r>
    </w:p>
    <w:p w14:paraId="60E15943" w14:textId="4D113571" w:rsidR="005A0519" w:rsidRPr="005A0519" w:rsidRDefault="005A0519" w:rsidP="00E852D1">
      <w:pPr>
        <w:pStyle w:val="ListParagraph"/>
        <w:numPr>
          <w:ilvl w:val="1"/>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FFS: whether to use DCI format 0A or 4A with TM2 (note: if DCI 0A is used, the contents will be redefined)</w:t>
      </w:r>
    </w:p>
    <w:p w14:paraId="3CBC1421"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The same DCI is used for activation and deactivation</w:t>
      </w:r>
    </w:p>
    <w:p w14:paraId="14BA65E8"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 xml:space="preserve">The same DCI size is used for AUL activation/deactivation and AUL-DFI </w:t>
      </w:r>
    </w:p>
    <w:p w14:paraId="12DBF80B"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The same RNTI used to scramble the CRC parity bits of AUL-DFI is used to scramble the CRC parity bits of AUL (de) activation DCI.</w:t>
      </w:r>
    </w:p>
    <w:p w14:paraId="561ED110"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A flag to differentiate between AUL activation/deactivation and AUL-DFI is included into the “AUL DCI” </w:t>
      </w:r>
    </w:p>
    <w:p w14:paraId="4B61A5F6"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For TM2 with AUL, PMI and MCS for the 2nd CW are included into AUL activation / deactivation DCI [0A or 4A]</w:t>
      </w:r>
    </w:p>
    <w:p w14:paraId="196B5086"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bookmarkStart w:id="9" w:name="_Hlk499941094"/>
      <w:r w:rsidRPr="005A0519">
        <w:rPr>
          <w:rFonts w:asciiTheme="majorBidi" w:eastAsia="MS Mincho" w:hAnsiTheme="majorBidi" w:cstheme="majorBidi"/>
          <w:iCs/>
          <w:sz w:val="20"/>
          <w:szCs w:val="20"/>
          <w:lang w:eastAsia="ja-JP"/>
        </w:rPr>
        <w:t>UL DMRS Cyclic Shift and OCC can be indicated for an AUL user</w:t>
      </w:r>
      <w:bookmarkEnd w:id="9"/>
      <w:r w:rsidRPr="005A0519">
        <w:rPr>
          <w:rFonts w:asciiTheme="majorBidi" w:eastAsia="MS Mincho" w:hAnsiTheme="majorBidi" w:cstheme="majorBidi"/>
          <w:iCs/>
          <w:sz w:val="20"/>
          <w:szCs w:val="20"/>
          <w:lang w:eastAsia="ja-JP"/>
        </w:rPr>
        <w:t xml:space="preserve">: </w:t>
      </w:r>
    </w:p>
    <w:p w14:paraId="44FCD948"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FFS: UE specific RRC configuration or by using AUL activation / deactivation DCI.</w:t>
      </w:r>
    </w:p>
    <w:p w14:paraId="726D676C"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bookmarkStart w:id="10" w:name="_Hlk499941234"/>
      <w:r w:rsidRPr="005A0519">
        <w:rPr>
          <w:rFonts w:asciiTheme="majorBidi" w:eastAsia="MS Mincho" w:hAnsiTheme="majorBidi" w:cstheme="majorBidi"/>
          <w:iCs/>
          <w:sz w:val="20"/>
          <w:szCs w:val="20"/>
          <w:lang w:eastAsia="ja-JP"/>
        </w:rPr>
        <w:t xml:space="preserve">AUL transmissions are not allowed in the subframes belonging to the DMTC window </w:t>
      </w:r>
      <w:bookmarkEnd w:id="10"/>
      <w:r w:rsidRPr="005A0519">
        <w:rPr>
          <w:rFonts w:asciiTheme="majorBidi" w:eastAsia="MS Mincho" w:hAnsiTheme="majorBidi" w:cstheme="majorBidi"/>
          <w:iCs/>
          <w:sz w:val="20"/>
          <w:szCs w:val="20"/>
          <w:lang w:eastAsia="ja-JP"/>
        </w:rPr>
        <w:t xml:space="preserve">of the serving cell irrespective of the RRC configured bitmap. </w:t>
      </w:r>
    </w:p>
    <w:p w14:paraId="6A257DE3" w14:textId="77777777" w:rsidR="005A0519" w:rsidRPr="005A0519" w:rsidRDefault="005A0519" w:rsidP="00E852D1">
      <w:pPr>
        <w:pStyle w:val="ListParagraph"/>
        <w:numPr>
          <w:ilvl w:val="0"/>
          <w:numId w:val="16"/>
        </w:numPr>
        <w:spacing w:after="0"/>
        <w:rPr>
          <w:rFonts w:asciiTheme="majorBidi" w:eastAsia="MS Mincho" w:hAnsiTheme="majorBidi" w:cstheme="majorBidi"/>
          <w:iCs/>
          <w:sz w:val="20"/>
          <w:szCs w:val="20"/>
          <w:lang w:eastAsia="ja-JP"/>
        </w:rPr>
      </w:pPr>
      <w:r w:rsidRPr="005A0519">
        <w:rPr>
          <w:rFonts w:asciiTheme="majorBidi" w:eastAsia="MS Mincho" w:hAnsiTheme="majorBidi" w:cstheme="majorBidi"/>
          <w:iCs/>
          <w:sz w:val="20"/>
          <w:szCs w:val="20"/>
          <w:lang w:eastAsia="ja-JP"/>
        </w:rPr>
        <w:t>FFS: RMTC</w:t>
      </w:r>
    </w:p>
    <w:p w14:paraId="47DA3651" w14:textId="77777777"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C</w:t>
      </w:r>
      <w:bookmarkStart w:id="11" w:name="_Hlk499941144"/>
      <w:r w:rsidRPr="005A0519">
        <w:rPr>
          <w:rFonts w:asciiTheme="majorBidi" w:hAnsiTheme="majorBidi" w:cstheme="majorBidi"/>
          <w:sz w:val="20"/>
          <w:szCs w:val="20"/>
          <w:lang w:eastAsia="x-none"/>
        </w:rPr>
        <w:t>P extension is transmitted from the AUL starting position until the start of symbol #1</w:t>
      </w:r>
      <w:bookmarkEnd w:id="11"/>
      <w:r w:rsidRPr="005A0519">
        <w:rPr>
          <w:rFonts w:asciiTheme="majorBidi" w:hAnsiTheme="majorBidi" w:cstheme="majorBidi"/>
          <w:sz w:val="20"/>
          <w:szCs w:val="20"/>
          <w:lang w:eastAsia="x-none"/>
        </w:rPr>
        <w:t>, and is less than one symbol long.</w:t>
      </w:r>
    </w:p>
    <w:p w14:paraId="19628CF5" w14:textId="01AB7948" w:rsidR="005A0519" w:rsidRDefault="005A0519" w:rsidP="00E852D1">
      <w:pPr>
        <w:numPr>
          <w:ilvl w:val="0"/>
          <w:numId w:val="16"/>
        </w:numPr>
        <w:spacing w:after="0" w:line="240" w:lineRule="auto"/>
        <w:rPr>
          <w:rFonts w:asciiTheme="majorBidi" w:hAnsiTheme="majorBidi" w:cstheme="majorBidi"/>
          <w:sz w:val="20"/>
          <w:szCs w:val="20"/>
          <w:lang w:eastAsia="x-none"/>
        </w:rPr>
      </w:pPr>
      <w:r>
        <w:rPr>
          <w:rFonts w:asciiTheme="majorBidi" w:hAnsiTheme="majorBidi" w:cstheme="majorBidi"/>
          <w:sz w:val="20"/>
          <w:szCs w:val="20"/>
          <w:lang w:eastAsia="x-none"/>
        </w:rPr>
        <w:t>FFS: if starting at subframe boundary</w:t>
      </w:r>
    </w:p>
    <w:p w14:paraId="2A586DD7" w14:textId="1D7A8ACE" w:rsidR="005A0519" w:rsidRDefault="005A0519" w:rsidP="005A0519">
      <w:pPr>
        <w:spacing w:after="0" w:line="240" w:lineRule="auto"/>
        <w:rPr>
          <w:rFonts w:asciiTheme="majorBidi" w:hAnsiTheme="majorBidi" w:cstheme="majorBidi"/>
          <w:sz w:val="20"/>
          <w:szCs w:val="20"/>
          <w:lang w:eastAsia="x-none"/>
        </w:rPr>
      </w:pPr>
    </w:p>
    <w:p w14:paraId="4CB187E6" w14:textId="77777777" w:rsidR="005A0519" w:rsidRPr="005A0519" w:rsidRDefault="005A0519" w:rsidP="005A0519">
      <w:pPr>
        <w:spacing w:after="0"/>
        <w:ind w:left="360"/>
        <w:jc w:val="both"/>
        <w:rPr>
          <w:rFonts w:asciiTheme="majorBidi" w:eastAsia="MS Mincho" w:hAnsiTheme="majorBidi" w:cstheme="majorBidi"/>
          <w:color w:val="000000"/>
          <w:sz w:val="20"/>
          <w:szCs w:val="20"/>
          <w:highlight w:val="green"/>
          <w:lang w:eastAsia="ja-JP"/>
        </w:rPr>
      </w:pPr>
      <w:r w:rsidRPr="005A0519">
        <w:rPr>
          <w:rFonts w:asciiTheme="majorBidi" w:eastAsia="MS Mincho" w:hAnsiTheme="majorBidi" w:cstheme="majorBidi"/>
          <w:color w:val="000000"/>
          <w:sz w:val="20"/>
          <w:szCs w:val="20"/>
          <w:highlight w:val="green"/>
          <w:lang w:eastAsia="ja-JP"/>
        </w:rPr>
        <w:t xml:space="preserve">Agreement: </w:t>
      </w:r>
    </w:p>
    <w:p w14:paraId="012BC613" w14:textId="77777777" w:rsidR="005A0519" w:rsidRDefault="005A0519" w:rsidP="005A0519">
      <w:pPr>
        <w:spacing w:after="0" w:line="240" w:lineRule="auto"/>
        <w:rPr>
          <w:rFonts w:asciiTheme="majorBidi" w:hAnsiTheme="majorBidi" w:cstheme="majorBidi"/>
          <w:sz w:val="20"/>
          <w:szCs w:val="20"/>
          <w:lang w:eastAsia="x-none"/>
        </w:rPr>
      </w:pPr>
    </w:p>
    <w:p w14:paraId="0799892B" w14:textId="51B770A0"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DMRS Cyclic Shift and Carrier Indicator Field (when present) are valid in the AUL activation DCI</w:t>
      </w:r>
    </w:p>
    <w:p w14:paraId="282FE408" w14:textId="0F4C309D" w:rsidR="005A0519" w:rsidRPr="005A0519" w:rsidRDefault="005A0519" w:rsidP="00E852D1">
      <w:pPr>
        <w:pStyle w:val="ListParagraph"/>
        <w:numPr>
          <w:ilvl w:val="1"/>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FFS: TPC</w:t>
      </w:r>
    </w:p>
    <w:p w14:paraId="2175F5AB" w14:textId="6D879138" w:rsidR="005A0519" w:rsidRPr="005A0519" w:rsidRDefault="005A0519" w:rsidP="00E852D1">
      <w:pPr>
        <w:pStyle w:val="ListParagraph"/>
        <w:numPr>
          <w:ilvl w:val="1"/>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FFS: what to do with the remaining bits in activation / deactivation DCI</w:t>
      </w:r>
    </w:p>
    <w:p w14:paraId="55FE6086" w14:textId="05687D73"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lastRenderedPageBreak/>
        <w:t>Spatial bundling is not applied in AUL DFI</w:t>
      </w:r>
    </w:p>
    <w:p w14:paraId="7983995B" w14:textId="32C468D8" w:rsidR="008A1AD3" w:rsidRPr="008A1AD3" w:rsidRDefault="008A1AD3" w:rsidP="00E852D1">
      <w:pPr>
        <w:pStyle w:val="ListParagraph"/>
        <w:numPr>
          <w:ilvl w:val="0"/>
          <w:numId w:val="16"/>
        </w:numPr>
        <w:spacing w:after="0"/>
        <w:rPr>
          <w:rFonts w:asciiTheme="majorBidi" w:hAnsiTheme="majorBidi" w:cstheme="majorBidi"/>
          <w:sz w:val="20"/>
          <w:szCs w:val="20"/>
          <w:lang w:eastAsia="x-none"/>
        </w:rPr>
      </w:pPr>
      <w:r w:rsidRPr="008A1AD3">
        <w:rPr>
          <w:rFonts w:asciiTheme="majorBidi" w:hAnsiTheme="majorBidi" w:cstheme="majorBidi"/>
          <w:sz w:val="20"/>
          <w:szCs w:val="20"/>
          <w:lang w:eastAsia="x-none"/>
        </w:rPr>
        <w:t>For TM2, PMI is included into AUL DFI</w:t>
      </w:r>
    </w:p>
    <w:p w14:paraId="489F277A" w14:textId="73C48B5B" w:rsidR="008A1AD3" w:rsidRPr="008A1AD3" w:rsidRDefault="008A1AD3" w:rsidP="00E852D1">
      <w:pPr>
        <w:pStyle w:val="ListParagraph"/>
        <w:numPr>
          <w:ilvl w:val="1"/>
          <w:numId w:val="16"/>
        </w:numPr>
        <w:spacing w:after="0"/>
        <w:rPr>
          <w:rFonts w:asciiTheme="majorBidi" w:hAnsiTheme="majorBidi" w:cstheme="majorBidi"/>
          <w:sz w:val="20"/>
          <w:szCs w:val="20"/>
          <w:lang w:eastAsia="x-none"/>
        </w:rPr>
      </w:pPr>
      <w:r w:rsidRPr="008A1AD3">
        <w:rPr>
          <w:rFonts w:asciiTheme="majorBidi" w:hAnsiTheme="majorBidi" w:cstheme="majorBidi"/>
          <w:sz w:val="20"/>
          <w:szCs w:val="20"/>
          <w:lang w:eastAsia="x-none"/>
        </w:rPr>
        <w:t>The UE is not expected to receive a PMI that changes the number of transmission layers</w:t>
      </w:r>
    </w:p>
    <w:p w14:paraId="1CBA510F" w14:textId="56231718" w:rsidR="008A1AD3" w:rsidRPr="008A1AD3" w:rsidRDefault="008A1AD3" w:rsidP="00E852D1">
      <w:pPr>
        <w:pStyle w:val="ListParagraph"/>
        <w:numPr>
          <w:ilvl w:val="1"/>
          <w:numId w:val="16"/>
        </w:numPr>
        <w:spacing w:after="0"/>
        <w:rPr>
          <w:rFonts w:asciiTheme="majorBidi" w:hAnsiTheme="majorBidi" w:cstheme="majorBidi"/>
          <w:sz w:val="20"/>
          <w:szCs w:val="20"/>
          <w:lang w:eastAsia="x-none"/>
        </w:rPr>
      </w:pPr>
      <w:r w:rsidRPr="008A1AD3">
        <w:rPr>
          <w:rFonts w:asciiTheme="majorBidi" w:hAnsiTheme="majorBidi" w:cstheme="majorBidi"/>
          <w:sz w:val="20"/>
          <w:szCs w:val="20"/>
          <w:lang w:eastAsia="x-none"/>
        </w:rPr>
        <w:t>FFS A-CSI</w:t>
      </w:r>
    </w:p>
    <w:p w14:paraId="6AA37B92" w14:textId="0CAC8853"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AUL-DFI is zero-padded to match the size of activation/deactivation DCI</w:t>
      </w:r>
    </w:p>
    <w:p w14:paraId="1CC87006" w14:textId="3164183C"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If AUL COT can be shared with the eNodeB, (at least) remaining COT is included into AUL-UCI</w:t>
      </w:r>
    </w:p>
    <w:p w14:paraId="507E63CE" w14:textId="6CE6C841"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AUL is mapped to UCI the same way as CQI/PMI</w:t>
      </w:r>
    </w:p>
    <w:p w14:paraId="1BC7B692" w14:textId="68027A0E" w:rsidR="005A0519" w:rsidRPr="005A0519" w:rsidRDefault="005A0519" w:rsidP="00E852D1">
      <w:pPr>
        <w:pStyle w:val="ListParagraph"/>
        <w:numPr>
          <w:ilvl w:val="1"/>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FFS starting symbol</w:t>
      </w:r>
    </w:p>
    <w:p w14:paraId="57B3C59F" w14:textId="7FF00BD2" w:rsidR="005A0519" w:rsidRPr="005A0519" w:rsidRDefault="005A0519" w:rsidP="00E852D1">
      <w:pPr>
        <w:pStyle w:val="ListParagraph"/>
        <w:numPr>
          <w:ilvl w:val="0"/>
          <w:numId w:val="16"/>
        </w:numPr>
        <w:spacing w:after="0"/>
        <w:rPr>
          <w:rFonts w:asciiTheme="majorBidi" w:hAnsiTheme="majorBidi" w:cstheme="majorBidi"/>
          <w:sz w:val="20"/>
          <w:szCs w:val="20"/>
          <w:lang w:eastAsia="x-none"/>
        </w:rPr>
      </w:pPr>
      <w:r w:rsidRPr="005A0519">
        <w:rPr>
          <w:rFonts w:asciiTheme="majorBidi" w:hAnsiTheme="majorBidi" w:cstheme="majorBidi"/>
          <w:sz w:val="20"/>
          <w:szCs w:val="20"/>
          <w:lang w:eastAsia="x-none"/>
        </w:rPr>
        <w:t>A new beta offset p</w:t>
      </w:r>
      <w:r>
        <w:rPr>
          <w:rFonts w:asciiTheme="majorBidi" w:hAnsiTheme="majorBidi" w:cstheme="majorBidi"/>
          <w:sz w:val="20"/>
          <w:szCs w:val="20"/>
          <w:lang w:eastAsia="x-none"/>
        </w:rPr>
        <w:t>arameter is defined for AUL-UCI</w:t>
      </w:r>
    </w:p>
    <w:p w14:paraId="1247A810" w14:textId="77777777" w:rsidR="005A0519" w:rsidRPr="00282312" w:rsidRDefault="005A0519" w:rsidP="005A0519">
      <w:pPr>
        <w:spacing w:after="0" w:line="240" w:lineRule="auto"/>
        <w:jc w:val="both"/>
        <w:rPr>
          <w:rFonts w:asciiTheme="majorBidi" w:eastAsia="MS Mincho" w:hAnsiTheme="majorBidi" w:cstheme="majorBidi"/>
          <w:color w:val="000000"/>
          <w:sz w:val="20"/>
          <w:szCs w:val="20"/>
          <w:lang w:eastAsia="ja-JP"/>
        </w:rPr>
      </w:pPr>
    </w:p>
    <w:p w14:paraId="099CBF71" w14:textId="77777777" w:rsidR="00C47C84" w:rsidRPr="00DC0B9B" w:rsidRDefault="00C47C84" w:rsidP="00FE2996">
      <w:pPr>
        <w:spacing w:after="0" w:line="240" w:lineRule="auto"/>
        <w:ind w:left="720"/>
        <w:jc w:val="both"/>
        <w:rPr>
          <w:rFonts w:asciiTheme="majorBidi" w:eastAsia="MS Mincho" w:hAnsiTheme="majorBidi" w:cstheme="majorBidi"/>
          <w:lang w:eastAsia="ja-JP"/>
        </w:rPr>
      </w:pPr>
    </w:p>
    <w:p w14:paraId="729C368F" w14:textId="6474C0D5" w:rsidR="00625B29" w:rsidRPr="00670ADC" w:rsidRDefault="00723152" w:rsidP="00FE2996">
      <w:pPr>
        <w:jc w:val="both"/>
      </w:pPr>
      <w:r w:rsidRPr="00670ADC">
        <w:t xml:space="preserve">In this contribution, we provide our views on configuring autonomous uplink access </w:t>
      </w:r>
      <w:r w:rsidR="00DC4771">
        <w:t xml:space="preserve">(AUL) </w:t>
      </w:r>
      <w:r w:rsidRPr="00670ADC">
        <w:t>on LAA SCells.</w:t>
      </w:r>
    </w:p>
    <w:p w14:paraId="6DE5FA3E" w14:textId="77777777" w:rsidR="00625B29" w:rsidRPr="00CE0424" w:rsidRDefault="00625B29" w:rsidP="00FE2996">
      <w:pPr>
        <w:pStyle w:val="Heading1"/>
        <w:jc w:val="both"/>
      </w:pPr>
      <w:bookmarkStart w:id="12" w:name="_Ref178064866"/>
      <w:r w:rsidRPr="00CE0424">
        <w:t>Discussion</w:t>
      </w:r>
      <w:bookmarkEnd w:id="12"/>
    </w:p>
    <w:p w14:paraId="755A7C30" w14:textId="2E37B71F" w:rsidR="00723152" w:rsidRPr="00A46264" w:rsidRDefault="00C47C84" w:rsidP="00FE2996">
      <w:pPr>
        <w:pStyle w:val="Heading2"/>
        <w:keepLines w:val="0"/>
        <w:tabs>
          <w:tab w:val="clear" w:pos="576"/>
        </w:tabs>
        <w:overflowPunct/>
        <w:autoSpaceDE/>
        <w:autoSpaceDN/>
        <w:adjustRightInd/>
        <w:spacing w:before="240" w:after="60"/>
        <w:jc w:val="both"/>
        <w:textAlignment w:val="auto"/>
      </w:pPr>
      <w:r>
        <w:t>AUL</w:t>
      </w:r>
      <w:r w:rsidR="00723152">
        <w:t xml:space="preserve"> configuration</w:t>
      </w:r>
    </w:p>
    <w:p w14:paraId="0D5DEFDB" w14:textId="58C0ECD0" w:rsidR="002D16A1" w:rsidRDefault="005A0519" w:rsidP="00F0639B">
      <w:pPr>
        <w:jc w:val="both"/>
      </w:pPr>
      <w:r>
        <w:t>Since AUL can be configured in multiple serving cells, it seems reasonable to assume that multiple bitmap configurations can be provided by eNB.</w:t>
      </w:r>
      <w:r w:rsidR="002D16A1" w:rsidRPr="002D16A1">
        <w:t xml:space="preserve"> </w:t>
      </w:r>
      <w:r w:rsidR="002D16A1">
        <w:t>That would allow the network to properly balance AUL resource consumptions in the different serving cells depending on the</w:t>
      </w:r>
      <w:r w:rsidR="00F0639B">
        <w:t xml:space="preserve"> load and interference patterns.</w:t>
      </w:r>
      <w:r w:rsidR="00F0639B" w:rsidRPr="00F0639B">
        <w:t xml:space="preserve"> </w:t>
      </w:r>
      <w:r w:rsidR="00F0639B">
        <w:t>However, it seems sufficient to just allow one single bitmap configuration to be configured on a given LAA serving cell.</w:t>
      </w:r>
    </w:p>
    <w:p w14:paraId="7FF1EDF6" w14:textId="5ABE6024" w:rsidR="002D16A1" w:rsidRDefault="002D16A1" w:rsidP="00B975DC">
      <w:pPr>
        <w:pStyle w:val="Proposal"/>
        <w:tabs>
          <w:tab w:val="clear" w:pos="1304"/>
        </w:tabs>
        <w:overflowPunct w:val="0"/>
        <w:autoSpaceDE w:val="0"/>
        <w:autoSpaceDN w:val="0"/>
        <w:adjustRightInd w:val="0"/>
        <w:spacing w:after="120" w:line="240" w:lineRule="auto"/>
        <w:ind w:left="1701" w:hanging="1701"/>
        <w:jc w:val="both"/>
        <w:textAlignment w:val="baseline"/>
      </w:pPr>
      <w:bookmarkStart w:id="13" w:name="_Ref505706876"/>
      <w:bookmarkStart w:id="14" w:name="_Toc505708854"/>
      <w:bookmarkStart w:id="15" w:name="_Toc505708949"/>
      <w:r>
        <w:t>Multiple AUL bitmap configurations can be configured by the eNB.</w:t>
      </w:r>
      <w:bookmarkEnd w:id="13"/>
      <w:bookmarkEnd w:id="14"/>
      <w:bookmarkEnd w:id="15"/>
    </w:p>
    <w:p w14:paraId="547B39E4" w14:textId="68E8854E" w:rsidR="00F0639B" w:rsidRDefault="00F0639B" w:rsidP="00F0639B">
      <w:pPr>
        <w:pStyle w:val="Proposal"/>
        <w:tabs>
          <w:tab w:val="clear" w:pos="1304"/>
        </w:tabs>
        <w:overflowPunct w:val="0"/>
        <w:autoSpaceDE w:val="0"/>
        <w:autoSpaceDN w:val="0"/>
        <w:adjustRightInd w:val="0"/>
        <w:spacing w:after="120" w:line="240" w:lineRule="auto"/>
        <w:ind w:left="1701" w:hanging="1701"/>
        <w:jc w:val="both"/>
        <w:textAlignment w:val="baseline"/>
      </w:pPr>
      <w:bookmarkStart w:id="16" w:name="_Toc506285308"/>
      <w:r>
        <w:t>A single AUL bitmap configuration can be activated per LAA serving cell.</w:t>
      </w:r>
      <w:bookmarkEnd w:id="16"/>
    </w:p>
    <w:p w14:paraId="5C8CBE0F" w14:textId="77777777" w:rsidR="002D16A1" w:rsidRPr="002D16A1" w:rsidRDefault="002D16A1" w:rsidP="002D16A1">
      <w:r w:rsidRPr="002D16A1">
        <w:t>Following parameters have been agreed to be RRC signaled:</w:t>
      </w:r>
    </w:p>
    <w:p w14:paraId="4965EB32" w14:textId="24A156D4" w:rsidR="002D16A1" w:rsidRPr="00B975DC" w:rsidRDefault="002D16A1" w:rsidP="00E852D1">
      <w:pPr>
        <w:pStyle w:val="Proposal"/>
        <w:numPr>
          <w:ilvl w:val="1"/>
          <w:numId w:val="16"/>
        </w:numPr>
        <w:overflowPunct w:val="0"/>
        <w:autoSpaceDE w:val="0"/>
        <w:autoSpaceDN w:val="0"/>
        <w:adjustRightInd w:val="0"/>
        <w:spacing w:after="120" w:line="240" w:lineRule="auto"/>
        <w:jc w:val="both"/>
        <w:textAlignment w:val="baseline"/>
        <w:rPr>
          <w:rFonts w:eastAsia="MS Mincho"/>
          <w:b w:val="0"/>
          <w:bCs w:val="0"/>
          <w:color w:val="000000"/>
          <w:lang w:eastAsia="ja-JP"/>
        </w:rPr>
      </w:pPr>
      <w:r w:rsidRPr="00B975DC">
        <w:rPr>
          <w:rFonts w:eastAsia="MS Mincho"/>
          <w:b w:val="0"/>
          <w:bCs w:val="0"/>
          <w:color w:val="000000"/>
          <w:lang w:eastAsia="ja-JP"/>
        </w:rPr>
        <w:t>AUL time resources (bitmap)</w:t>
      </w:r>
    </w:p>
    <w:p w14:paraId="2FB3A61F" w14:textId="55B39FDD" w:rsidR="002D16A1" w:rsidRPr="00B975DC" w:rsidRDefault="002D16A1" w:rsidP="00E852D1">
      <w:pPr>
        <w:pStyle w:val="Proposal"/>
        <w:numPr>
          <w:ilvl w:val="1"/>
          <w:numId w:val="16"/>
        </w:numPr>
        <w:overflowPunct w:val="0"/>
        <w:autoSpaceDE w:val="0"/>
        <w:autoSpaceDN w:val="0"/>
        <w:adjustRightInd w:val="0"/>
        <w:spacing w:after="120" w:line="240" w:lineRule="auto"/>
        <w:jc w:val="both"/>
        <w:textAlignment w:val="baseline"/>
        <w:rPr>
          <w:b w:val="0"/>
          <w:bCs w:val="0"/>
        </w:rPr>
      </w:pPr>
      <w:r w:rsidRPr="00B975DC">
        <w:rPr>
          <w:rFonts w:eastAsia="MS Mincho"/>
          <w:b w:val="0"/>
          <w:bCs w:val="0"/>
          <w:color w:val="000000"/>
          <w:lang w:eastAsia="ja-JP"/>
        </w:rPr>
        <w:t>The HARQ process IDs allowed for AUL operation</w:t>
      </w:r>
    </w:p>
    <w:p w14:paraId="6708CD1B" w14:textId="266C3D7C" w:rsidR="002D16A1" w:rsidRPr="00B975DC" w:rsidRDefault="002D16A1" w:rsidP="00E852D1">
      <w:pPr>
        <w:pStyle w:val="Proposal"/>
        <w:numPr>
          <w:ilvl w:val="1"/>
          <w:numId w:val="16"/>
        </w:numPr>
        <w:overflowPunct w:val="0"/>
        <w:autoSpaceDE w:val="0"/>
        <w:autoSpaceDN w:val="0"/>
        <w:adjustRightInd w:val="0"/>
        <w:spacing w:after="120" w:line="240" w:lineRule="auto"/>
        <w:jc w:val="both"/>
        <w:textAlignment w:val="baseline"/>
        <w:rPr>
          <w:b w:val="0"/>
          <w:bCs w:val="0"/>
        </w:rPr>
      </w:pPr>
      <w:r w:rsidRPr="00B975DC">
        <w:rPr>
          <w:rFonts w:eastAsia="MS Mincho"/>
          <w:b w:val="0"/>
          <w:bCs w:val="0"/>
          <w:iCs/>
          <w:lang w:eastAsia="ja-JP"/>
        </w:rPr>
        <w:t>AUL retransmission timer</w:t>
      </w:r>
    </w:p>
    <w:p w14:paraId="217F915F" w14:textId="257DCF0B" w:rsidR="002D16A1" w:rsidRPr="00B975DC" w:rsidRDefault="002D16A1" w:rsidP="00E852D1">
      <w:pPr>
        <w:pStyle w:val="Proposal"/>
        <w:numPr>
          <w:ilvl w:val="1"/>
          <w:numId w:val="16"/>
        </w:numPr>
        <w:overflowPunct w:val="0"/>
        <w:autoSpaceDE w:val="0"/>
        <w:autoSpaceDN w:val="0"/>
        <w:adjustRightInd w:val="0"/>
        <w:spacing w:after="120" w:line="240" w:lineRule="auto"/>
        <w:jc w:val="both"/>
        <w:textAlignment w:val="baseline"/>
        <w:rPr>
          <w:rFonts w:eastAsia="MS Mincho"/>
          <w:b w:val="0"/>
          <w:bCs w:val="0"/>
          <w:color w:val="000000"/>
          <w:lang w:eastAsia="ja-JP"/>
        </w:rPr>
      </w:pPr>
      <w:r w:rsidRPr="00B975DC">
        <w:rPr>
          <w:rFonts w:eastAsia="MS Mincho"/>
          <w:b w:val="0"/>
          <w:bCs w:val="0"/>
          <w:color w:val="000000"/>
          <w:lang w:eastAsia="ja-JP"/>
        </w:rPr>
        <w:t xml:space="preserve">Channel access priority for each UL LAA allowed logical channel. </w:t>
      </w:r>
    </w:p>
    <w:p w14:paraId="53902AD8" w14:textId="77777777" w:rsidR="002D16A1" w:rsidRPr="00B975DC" w:rsidRDefault="002D16A1" w:rsidP="00E852D1">
      <w:pPr>
        <w:pStyle w:val="Proposal"/>
        <w:numPr>
          <w:ilvl w:val="1"/>
          <w:numId w:val="16"/>
        </w:numPr>
        <w:overflowPunct w:val="0"/>
        <w:autoSpaceDE w:val="0"/>
        <w:autoSpaceDN w:val="0"/>
        <w:adjustRightInd w:val="0"/>
        <w:spacing w:after="120" w:line="240" w:lineRule="auto"/>
        <w:jc w:val="both"/>
        <w:textAlignment w:val="baseline"/>
        <w:rPr>
          <w:rFonts w:eastAsia="MS Mincho"/>
          <w:b w:val="0"/>
          <w:bCs w:val="0"/>
          <w:color w:val="000000"/>
          <w:lang w:eastAsia="ja-JP"/>
        </w:rPr>
      </w:pPr>
      <w:r w:rsidRPr="00B975DC">
        <w:rPr>
          <w:rFonts w:eastAsia="MS Mincho"/>
          <w:b w:val="0"/>
          <w:bCs w:val="0"/>
          <w:color w:val="000000"/>
          <w:lang w:eastAsia="ja-JP"/>
        </w:rPr>
        <w:t>A new beta offset parameter is defined for AUL-UCI</w:t>
      </w:r>
    </w:p>
    <w:p w14:paraId="667C8F3E" w14:textId="77777777" w:rsidR="002D16A1" w:rsidRDefault="002D16A1" w:rsidP="00B975DC">
      <w:pPr>
        <w:pStyle w:val="Proposal"/>
        <w:numPr>
          <w:ilvl w:val="0"/>
          <w:numId w:val="0"/>
        </w:numPr>
        <w:overflowPunct w:val="0"/>
        <w:autoSpaceDE w:val="0"/>
        <w:autoSpaceDN w:val="0"/>
        <w:adjustRightInd w:val="0"/>
        <w:spacing w:after="120" w:line="240" w:lineRule="auto"/>
        <w:jc w:val="both"/>
        <w:textAlignment w:val="baseline"/>
      </w:pPr>
    </w:p>
    <w:p w14:paraId="543D0D8E" w14:textId="19E1AD52" w:rsidR="002D16A1" w:rsidRPr="00B975DC" w:rsidRDefault="00B975DC" w:rsidP="002D16A1">
      <w:pPr>
        <w:pStyle w:val="Proposal"/>
        <w:numPr>
          <w:ilvl w:val="0"/>
          <w:numId w:val="0"/>
        </w:numPr>
        <w:overflowPunct w:val="0"/>
        <w:autoSpaceDE w:val="0"/>
        <w:autoSpaceDN w:val="0"/>
        <w:adjustRightInd w:val="0"/>
        <w:spacing w:after="120" w:line="240" w:lineRule="auto"/>
        <w:ind w:left="1304" w:hanging="1304"/>
        <w:jc w:val="both"/>
        <w:textAlignment w:val="baseline"/>
        <w:rPr>
          <w:b w:val="0"/>
          <w:bCs w:val="0"/>
        </w:rPr>
      </w:pPr>
      <w:r>
        <w:rPr>
          <w:b w:val="0"/>
          <w:bCs w:val="0"/>
        </w:rPr>
        <w:t>A</w:t>
      </w:r>
      <w:r w:rsidRPr="00B975DC">
        <w:rPr>
          <w:b w:val="0"/>
          <w:bCs w:val="0"/>
        </w:rPr>
        <w:t xml:space="preserve">dditionally, the following parameters should be included: </w:t>
      </w:r>
    </w:p>
    <w:p w14:paraId="773362BD" w14:textId="73BED3C2" w:rsidR="00B975DC" w:rsidRDefault="00B975DC" w:rsidP="00B975DC">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The following </w:t>
      </w:r>
      <w:r w:rsidR="005668F6">
        <w:t>parameters</w:t>
      </w:r>
      <w:r>
        <w:t xml:space="preserve"> are RRC signaled: </w:t>
      </w:r>
    </w:p>
    <w:p w14:paraId="7F7AA4CD" w14:textId="77777777" w:rsidR="00B975DC" w:rsidRPr="00B975DC" w:rsidRDefault="00B975DC" w:rsidP="00E852D1">
      <w:pPr>
        <w:pStyle w:val="BodyText"/>
        <w:numPr>
          <w:ilvl w:val="0"/>
          <w:numId w:val="17"/>
        </w:numPr>
        <w:spacing w:after="120" w:line="240" w:lineRule="auto"/>
        <w:jc w:val="both"/>
        <w:rPr>
          <w:b/>
          <w:bCs/>
        </w:rPr>
      </w:pPr>
      <w:r w:rsidRPr="00B975DC">
        <w:rPr>
          <w:b/>
          <w:bCs/>
        </w:rPr>
        <w:t>UE-specific starting position set for full-bandwidth AUL PUSCH within DL MCOT</w:t>
      </w:r>
    </w:p>
    <w:p w14:paraId="1F1147BB" w14:textId="77777777" w:rsidR="00B975DC" w:rsidRPr="00B975DC" w:rsidRDefault="00B975DC" w:rsidP="00E852D1">
      <w:pPr>
        <w:pStyle w:val="BodyText"/>
        <w:numPr>
          <w:ilvl w:val="0"/>
          <w:numId w:val="17"/>
        </w:numPr>
        <w:spacing w:after="120" w:line="240" w:lineRule="auto"/>
        <w:jc w:val="both"/>
        <w:rPr>
          <w:b/>
          <w:bCs/>
        </w:rPr>
      </w:pPr>
      <w:r w:rsidRPr="00B975DC">
        <w:rPr>
          <w:b/>
          <w:bCs/>
        </w:rPr>
        <w:t>UE-specific starting position set for partial-bandwidth AUL PUSCH within DL MCOT</w:t>
      </w:r>
    </w:p>
    <w:p w14:paraId="74F9A321" w14:textId="77777777" w:rsidR="00B975DC" w:rsidRPr="00B975DC" w:rsidRDefault="00B975DC" w:rsidP="00E852D1">
      <w:pPr>
        <w:pStyle w:val="BodyText"/>
        <w:numPr>
          <w:ilvl w:val="0"/>
          <w:numId w:val="17"/>
        </w:numPr>
        <w:spacing w:after="120" w:line="240" w:lineRule="auto"/>
        <w:jc w:val="both"/>
        <w:rPr>
          <w:b/>
          <w:bCs/>
        </w:rPr>
      </w:pPr>
      <w:r w:rsidRPr="00B975DC">
        <w:rPr>
          <w:b/>
          <w:bCs/>
        </w:rPr>
        <w:t>UE-specific starting position set for full-bandwidth AUL PUSCH outside DL MCOT</w:t>
      </w:r>
    </w:p>
    <w:p w14:paraId="27F40CCB" w14:textId="77777777" w:rsidR="00B975DC" w:rsidRPr="00B975DC" w:rsidRDefault="00B975DC" w:rsidP="00E852D1">
      <w:pPr>
        <w:pStyle w:val="BodyText"/>
        <w:numPr>
          <w:ilvl w:val="0"/>
          <w:numId w:val="17"/>
        </w:numPr>
        <w:spacing w:after="120" w:line="240" w:lineRule="auto"/>
        <w:jc w:val="both"/>
        <w:rPr>
          <w:b/>
          <w:bCs/>
        </w:rPr>
      </w:pPr>
      <w:r w:rsidRPr="00B975DC">
        <w:rPr>
          <w:b/>
          <w:bCs/>
        </w:rPr>
        <w:t>UE-specific starting position set for partial-bandwidth AUL PUSCH outside DL MCOT</w:t>
      </w:r>
    </w:p>
    <w:p w14:paraId="3A841E71" w14:textId="77777777" w:rsidR="00B975DC" w:rsidRDefault="00B975DC" w:rsidP="002D16A1">
      <w:pPr>
        <w:pStyle w:val="Proposal"/>
        <w:numPr>
          <w:ilvl w:val="0"/>
          <w:numId w:val="0"/>
        </w:numPr>
        <w:overflowPunct w:val="0"/>
        <w:autoSpaceDE w:val="0"/>
        <w:autoSpaceDN w:val="0"/>
        <w:adjustRightInd w:val="0"/>
        <w:spacing w:after="120" w:line="240" w:lineRule="auto"/>
        <w:ind w:left="1304" w:hanging="1304"/>
        <w:jc w:val="both"/>
        <w:textAlignment w:val="baseline"/>
      </w:pPr>
    </w:p>
    <w:p w14:paraId="33C43E87" w14:textId="7CD994D7" w:rsidR="008A1AD3" w:rsidRPr="008A1AD3" w:rsidRDefault="0083228D" w:rsidP="008A1AD3">
      <w:pPr>
        <w:pStyle w:val="Proposal"/>
        <w:numPr>
          <w:ilvl w:val="0"/>
          <w:numId w:val="0"/>
        </w:numPr>
        <w:overflowPunct w:val="0"/>
        <w:autoSpaceDE w:val="0"/>
        <w:autoSpaceDN w:val="0"/>
        <w:adjustRightInd w:val="0"/>
        <w:spacing w:after="120" w:line="240" w:lineRule="auto"/>
        <w:jc w:val="both"/>
        <w:textAlignment w:val="baseline"/>
        <w:rPr>
          <w:b w:val="0"/>
          <w:bCs w:val="0"/>
        </w:rPr>
      </w:pPr>
      <w:r w:rsidRPr="008A1AD3">
        <w:rPr>
          <w:b w:val="0"/>
          <w:bCs w:val="0"/>
        </w:rPr>
        <w:t xml:space="preserve">RNTI used to scramble AUL-DCI for activation and deactivation is also RRC configured. It has been discussed in previous meetings if </w:t>
      </w:r>
      <w:r w:rsidR="008A1AD3" w:rsidRPr="008A1AD3">
        <w:rPr>
          <w:b w:val="0"/>
          <w:bCs w:val="0"/>
        </w:rPr>
        <w:t xml:space="preserve">a new RNTI should be created for AUL operation or SPS-RNTI is reused. from RAN 1 perspective both approaches </w:t>
      </w:r>
      <w:r w:rsidR="001618B4">
        <w:rPr>
          <w:b w:val="0"/>
          <w:bCs w:val="0"/>
        </w:rPr>
        <w:t>work</w:t>
      </w:r>
      <w:r w:rsidR="008A1AD3">
        <w:rPr>
          <w:b w:val="0"/>
          <w:bCs w:val="0"/>
        </w:rPr>
        <w:t xml:space="preserve"> fine. However, this </w:t>
      </w:r>
      <w:r w:rsidR="00F0639B">
        <w:rPr>
          <w:b w:val="0"/>
          <w:bCs w:val="0"/>
        </w:rPr>
        <w:t>decision</w:t>
      </w:r>
      <w:r w:rsidR="008A1AD3">
        <w:rPr>
          <w:b w:val="0"/>
          <w:bCs w:val="0"/>
        </w:rPr>
        <w:t xml:space="preserve"> has a RAN2 impact. Therefore, we think that it should be left up for RAN2 to decide on the RNTI selection for AUL. </w:t>
      </w:r>
    </w:p>
    <w:p w14:paraId="731B2F61" w14:textId="422FF8B6" w:rsidR="008A1AD3" w:rsidRDefault="0005317B" w:rsidP="008A1AD3">
      <w:pPr>
        <w:pStyle w:val="Proposal"/>
        <w:tabs>
          <w:tab w:val="clear" w:pos="1304"/>
        </w:tabs>
        <w:overflowPunct w:val="0"/>
        <w:autoSpaceDE w:val="0"/>
        <w:autoSpaceDN w:val="0"/>
        <w:adjustRightInd w:val="0"/>
        <w:spacing w:after="120" w:line="240" w:lineRule="auto"/>
        <w:ind w:left="1701" w:hanging="1701"/>
        <w:jc w:val="both"/>
        <w:textAlignment w:val="baseline"/>
      </w:pPr>
      <w:r>
        <w:t>I</w:t>
      </w:r>
      <w:r w:rsidR="008A1AD3">
        <w:t>t is up to RAN2 to decide if new RNTI is defined for AUL operation or if SPS-RNT</w:t>
      </w:r>
      <w:r w:rsidR="00F0639B">
        <w:t>I</w:t>
      </w:r>
      <w:r w:rsidR="008A1AD3">
        <w:t xml:space="preserve"> is reused. </w:t>
      </w:r>
    </w:p>
    <w:p w14:paraId="65D0D75D" w14:textId="044F016C" w:rsidR="001618B4" w:rsidRPr="008A1AD3" w:rsidRDefault="008A1AD3" w:rsidP="001618B4">
      <w:pPr>
        <w:pStyle w:val="Proposal"/>
        <w:numPr>
          <w:ilvl w:val="0"/>
          <w:numId w:val="0"/>
        </w:numPr>
        <w:overflowPunct w:val="0"/>
        <w:autoSpaceDE w:val="0"/>
        <w:autoSpaceDN w:val="0"/>
        <w:adjustRightInd w:val="0"/>
        <w:spacing w:after="120" w:line="240" w:lineRule="auto"/>
        <w:jc w:val="both"/>
        <w:textAlignment w:val="baseline"/>
        <w:rPr>
          <w:b w:val="0"/>
          <w:bCs w:val="0"/>
        </w:rPr>
      </w:pPr>
      <w:r>
        <w:rPr>
          <w:b w:val="0"/>
          <w:bCs w:val="0"/>
        </w:rPr>
        <w:lastRenderedPageBreak/>
        <w:t xml:space="preserve">Finally, the timing advance configuration, and TM scheme are the same for both AUL and SUL operation. Therefore, there is no need to include </w:t>
      </w:r>
      <w:r w:rsidR="001618B4">
        <w:rPr>
          <w:b w:val="0"/>
          <w:bCs w:val="0"/>
        </w:rPr>
        <w:t xml:space="preserve">AUL specific TA or TM in the RRC AUL configuration. </w:t>
      </w:r>
    </w:p>
    <w:p w14:paraId="3B263D0C" w14:textId="4C8CEA07" w:rsidR="00723152" w:rsidRDefault="00065F72" w:rsidP="00FE2996">
      <w:pPr>
        <w:pStyle w:val="Heading2"/>
        <w:keepLines w:val="0"/>
        <w:tabs>
          <w:tab w:val="clear" w:pos="576"/>
        </w:tabs>
        <w:overflowPunct/>
        <w:autoSpaceDE/>
        <w:autoSpaceDN/>
        <w:adjustRightInd/>
        <w:spacing w:before="240" w:after="60"/>
        <w:jc w:val="both"/>
        <w:textAlignment w:val="auto"/>
      </w:pPr>
      <w:r>
        <w:t>AUL-</w:t>
      </w:r>
      <w:r w:rsidR="00723152">
        <w:t xml:space="preserve">SPS </w:t>
      </w:r>
      <w:r w:rsidR="00C04BB5">
        <w:t>A</w:t>
      </w:r>
      <w:r w:rsidR="00723152">
        <w:t>ctivation</w:t>
      </w:r>
      <w:r w:rsidR="00C04BB5">
        <w:t xml:space="preserve"> and Deactivation </w:t>
      </w:r>
    </w:p>
    <w:p w14:paraId="3B176A15" w14:textId="2E5CBCF5" w:rsidR="005668F6" w:rsidRDefault="005668F6" w:rsidP="005668F6">
      <w:pPr>
        <w:shd w:val="clear" w:color="auto" w:fill="FFFFFF"/>
        <w:spacing w:before="240" w:after="0"/>
        <w:jc w:val="both"/>
        <w:rPr>
          <w:rFonts w:eastAsia="Malgun Gothic"/>
          <w:lang w:eastAsia="ko-KR"/>
        </w:rPr>
      </w:pPr>
      <w:r>
        <w:rPr>
          <w:rFonts w:eastAsia="Malgun Gothic"/>
          <w:lang w:eastAsia="ko-KR"/>
        </w:rPr>
        <w:t>The following fields have been agreed to be included into AUL activation DCI:</w:t>
      </w:r>
    </w:p>
    <w:p w14:paraId="39870BBE" w14:textId="77777777" w:rsidR="005668F6" w:rsidRPr="00946204" w:rsidRDefault="005668F6" w:rsidP="00E852D1">
      <w:pPr>
        <w:pStyle w:val="ListParagraph"/>
        <w:numPr>
          <w:ilvl w:val="0"/>
          <w:numId w:val="18"/>
        </w:numPr>
        <w:shd w:val="clear" w:color="auto" w:fill="FFFFFF"/>
        <w:spacing w:before="240" w:after="0"/>
        <w:jc w:val="both"/>
        <w:rPr>
          <w:rFonts w:asciiTheme="minorHAnsi" w:eastAsia="Malgun Gothic" w:hAnsiTheme="minorHAnsi"/>
          <w:lang w:eastAsia="ko-KR"/>
        </w:rPr>
      </w:pPr>
      <w:r w:rsidRPr="00946204">
        <w:rPr>
          <w:rFonts w:asciiTheme="minorHAnsi" w:eastAsia="Malgun Gothic" w:hAnsiTheme="minorHAnsi"/>
          <w:lang w:eastAsia="ko-KR"/>
        </w:rPr>
        <w:t>A flag to differentiate between AUL activation/deactivation and AUL-DFI</w:t>
      </w:r>
    </w:p>
    <w:p w14:paraId="0CDA4222" w14:textId="77777777" w:rsidR="005668F6" w:rsidRPr="00946204" w:rsidRDefault="005668F6" w:rsidP="00E852D1">
      <w:pPr>
        <w:pStyle w:val="ListParagraph"/>
        <w:numPr>
          <w:ilvl w:val="0"/>
          <w:numId w:val="18"/>
        </w:numPr>
        <w:shd w:val="clear" w:color="auto" w:fill="FFFFFF"/>
        <w:spacing w:before="240" w:after="0"/>
        <w:jc w:val="both"/>
        <w:rPr>
          <w:rFonts w:asciiTheme="minorHAnsi" w:eastAsia="Malgun Gothic" w:hAnsiTheme="minorHAnsi"/>
          <w:lang w:eastAsia="ko-KR"/>
        </w:rPr>
      </w:pPr>
      <w:r w:rsidRPr="00946204">
        <w:rPr>
          <w:rFonts w:asciiTheme="minorHAnsi" w:eastAsia="Malgun Gothic" w:hAnsiTheme="minorHAnsi"/>
          <w:lang w:eastAsia="ko-KR"/>
        </w:rPr>
        <w:t>Resource Block Assignment</w:t>
      </w:r>
    </w:p>
    <w:p w14:paraId="2C27B81E" w14:textId="0ACF1F5C" w:rsidR="005668F6" w:rsidRPr="00946204" w:rsidRDefault="005668F6" w:rsidP="00E852D1">
      <w:pPr>
        <w:pStyle w:val="ListParagraph"/>
        <w:numPr>
          <w:ilvl w:val="0"/>
          <w:numId w:val="18"/>
        </w:numPr>
        <w:shd w:val="clear" w:color="auto" w:fill="FFFFFF"/>
        <w:spacing w:before="240" w:after="240"/>
        <w:jc w:val="both"/>
        <w:rPr>
          <w:rFonts w:asciiTheme="minorHAnsi" w:eastAsia="Malgun Gothic" w:hAnsiTheme="minorHAnsi"/>
          <w:lang w:eastAsia="ko-KR"/>
        </w:rPr>
      </w:pPr>
      <w:r w:rsidRPr="00946204">
        <w:rPr>
          <w:rFonts w:asciiTheme="minorHAnsi" w:eastAsia="Malgun Gothic" w:hAnsiTheme="minorHAnsi"/>
          <w:lang w:eastAsia="ko-KR"/>
        </w:rPr>
        <w:t>MCS for the 1st codeword</w:t>
      </w:r>
    </w:p>
    <w:p w14:paraId="6403BE61" w14:textId="77777777" w:rsidR="005668F6" w:rsidRPr="00946204" w:rsidRDefault="005668F6" w:rsidP="00E852D1">
      <w:pPr>
        <w:pStyle w:val="ListParagraph"/>
        <w:numPr>
          <w:ilvl w:val="0"/>
          <w:numId w:val="18"/>
        </w:numPr>
        <w:shd w:val="clear" w:color="auto" w:fill="FFFFFF"/>
        <w:spacing w:before="240" w:after="240"/>
        <w:jc w:val="both"/>
        <w:rPr>
          <w:rFonts w:asciiTheme="minorHAnsi" w:eastAsia="Malgun Gothic" w:hAnsiTheme="minorHAnsi"/>
          <w:lang w:eastAsia="ko-KR"/>
        </w:rPr>
      </w:pPr>
      <w:r w:rsidRPr="00946204">
        <w:rPr>
          <w:rFonts w:asciiTheme="minorHAnsi" w:eastAsia="Malgun Gothic" w:hAnsiTheme="minorHAnsi"/>
          <w:lang w:eastAsia="ko-KR"/>
        </w:rPr>
        <w:t xml:space="preserve">DMRS Cyclic Shift </w:t>
      </w:r>
    </w:p>
    <w:p w14:paraId="46F2B256" w14:textId="5E6F0445" w:rsidR="005668F6" w:rsidRPr="00946204" w:rsidRDefault="005668F6" w:rsidP="00E852D1">
      <w:pPr>
        <w:pStyle w:val="ListParagraph"/>
        <w:numPr>
          <w:ilvl w:val="0"/>
          <w:numId w:val="18"/>
        </w:numPr>
        <w:shd w:val="clear" w:color="auto" w:fill="FFFFFF"/>
        <w:spacing w:before="240" w:after="240"/>
        <w:jc w:val="both"/>
        <w:rPr>
          <w:rFonts w:asciiTheme="minorHAnsi" w:eastAsia="Malgun Gothic" w:hAnsiTheme="minorHAnsi"/>
          <w:lang w:eastAsia="ko-KR"/>
        </w:rPr>
      </w:pPr>
      <w:r w:rsidRPr="00946204">
        <w:rPr>
          <w:rFonts w:asciiTheme="minorHAnsi" w:eastAsia="Malgun Gothic" w:hAnsiTheme="minorHAnsi"/>
          <w:lang w:eastAsia="ko-KR"/>
        </w:rPr>
        <w:t>Carrier Indicator Field (when present)</w:t>
      </w:r>
    </w:p>
    <w:p w14:paraId="5D48316F" w14:textId="34CACBA0" w:rsidR="005668F6" w:rsidRPr="00946204" w:rsidRDefault="005668F6" w:rsidP="00E852D1">
      <w:pPr>
        <w:pStyle w:val="ListParagraph"/>
        <w:numPr>
          <w:ilvl w:val="0"/>
          <w:numId w:val="18"/>
        </w:numPr>
        <w:shd w:val="clear" w:color="auto" w:fill="FFFFFF"/>
        <w:spacing w:before="240" w:after="240"/>
        <w:jc w:val="both"/>
        <w:rPr>
          <w:rFonts w:asciiTheme="minorHAnsi" w:eastAsia="Malgun Gothic" w:hAnsiTheme="minorHAnsi"/>
          <w:lang w:eastAsia="ko-KR"/>
        </w:rPr>
      </w:pPr>
      <w:r w:rsidRPr="00946204">
        <w:rPr>
          <w:rFonts w:asciiTheme="minorHAnsi" w:eastAsia="Malgun Gothic" w:hAnsiTheme="minorHAnsi"/>
          <w:lang w:eastAsia="ko-KR"/>
        </w:rPr>
        <w:t>PMI (when present)</w:t>
      </w:r>
    </w:p>
    <w:p w14:paraId="359D45DE" w14:textId="62F27E6F" w:rsidR="005668F6" w:rsidRPr="00946204" w:rsidRDefault="005668F6" w:rsidP="00E852D1">
      <w:pPr>
        <w:pStyle w:val="ListParagraph"/>
        <w:numPr>
          <w:ilvl w:val="0"/>
          <w:numId w:val="18"/>
        </w:numPr>
        <w:shd w:val="clear" w:color="auto" w:fill="FFFFFF"/>
        <w:spacing w:before="240" w:after="240"/>
        <w:jc w:val="both"/>
        <w:rPr>
          <w:rFonts w:asciiTheme="minorHAnsi" w:eastAsia="Malgun Gothic" w:hAnsiTheme="minorHAnsi"/>
          <w:lang w:eastAsia="ko-KR"/>
        </w:rPr>
      </w:pPr>
      <w:r w:rsidRPr="00946204">
        <w:rPr>
          <w:rFonts w:asciiTheme="minorHAnsi" w:eastAsia="Malgun Gothic" w:hAnsiTheme="minorHAnsi"/>
          <w:lang w:eastAsia="ko-KR"/>
        </w:rPr>
        <w:t>MCS for the 2nd codeword (when present)</w:t>
      </w:r>
    </w:p>
    <w:p w14:paraId="36C9DC9E" w14:textId="48E6685D" w:rsidR="005668F6" w:rsidRDefault="004959AD" w:rsidP="005668F6">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TPC can be added to </w:t>
      </w:r>
      <w:r w:rsidR="005668F6" w:rsidRPr="005668F6">
        <w:t xml:space="preserve">AUL DCI activation </w:t>
      </w:r>
    </w:p>
    <w:p w14:paraId="6F447128" w14:textId="2B7D6541" w:rsidR="00243DE5" w:rsidRDefault="00243DE5" w:rsidP="00243DE5">
      <w:pPr>
        <w:jc w:val="both"/>
      </w:pPr>
      <w:r>
        <w:t xml:space="preserve">In case </w:t>
      </w:r>
      <w:r>
        <w:fldChar w:fldCharType="begin"/>
      </w:r>
      <w:r>
        <w:instrText xml:space="preserve"> REF _Ref505706876 \r \h  \* MERGEFORMAT </w:instrText>
      </w:r>
      <w:r>
        <w:fldChar w:fldCharType="separate"/>
      </w:r>
      <w:r>
        <w:t>Proposal 1</w:t>
      </w:r>
      <w:r>
        <w:fldChar w:fldCharType="end"/>
      </w:r>
      <w:r>
        <w:t xml:space="preserve"> is agreed, an index should be associated to each bitmap configuration, so that the eNB can indicate in the DCI 0A/4A which specific bitmap configuration shall be (re)activated/released in a certain LAA serving cell. This will not be very different from what specified in Rel.14 for V2X, in which each SPS configuration is associated to an SPS index and then used by PDCCH DCI0 to (re)activate/release a specific configuration in the PCell.</w:t>
      </w:r>
    </w:p>
    <w:p w14:paraId="2FB6037E" w14:textId="77777777" w:rsidR="00243DE5" w:rsidRDefault="00243DE5" w:rsidP="00243DE5">
      <w:pPr>
        <w:pStyle w:val="Proposal"/>
        <w:tabs>
          <w:tab w:val="clear" w:pos="1304"/>
        </w:tabs>
        <w:overflowPunct w:val="0"/>
        <w:autoSpaceDE w:val="0"/>
        <w:autoSpaceDN w:val="0"/>
        <w:adjustRightInd w:val="0"/>
        <w:spacing w:after="120" w:line="240" w:lineRule="auto"/>
        <w:ind w:left="1701" w:hanging="1701"/>
        <w:jc w:val="both"/>
        <w:textAlignment w:val="baseline"/>
      </w:pPr>
      <w:bookmarkStart w:id="17" w:name="_Toc505708856"/>
      <w:bookmarkStart w:id="18" w:name="_Toc505708951"/>
      <w:bookmarkStart w:id="19" w:name="_Toc485635952"/>
      <w:bookmarkStart w:id="20" w:name="_Toc485723727"/>
      <w:bookmarkStart w:id="21" w:name="_Toc485729961"/>
      <w:bookmarkStart w:id="22" w:name="_Toc489028993"/>
      <w:bookmarkStart w:id="23" w:name="_Toc490071035"/>
      <w:bookmarkStart w:id="24" w:name="_Toc490071045"/>
      <w:bookmarkStart w:id="25" w:name="_Toc490152248"/>
      <w:bookmarkStart w:id="26" w:name="_Toc490152258"/>
      <w:bookmarkStart w:id="27" w:name="_Toc490232868"/>
      <w:bookmarkStart w:id="28" w:name="_Toc490232903"/>
      <w:r>
        <w:t>Similar to V2X, each AUL bitmap configuration is associated to a bitmap configuration index.</w:t>
      </w:r>
      <w:bookmarkEnd w:id="17"/>
      <w:bookmarkEnd w:id="18"/>
    </w:p>
    <w:p w14:paraId="2E8C1257" w14:textId="77777777" w:rsidR="00243DE5" w:rsidRPr="00243DE5" w:rsidRDefault="00243DE5" w:rsidP="00025100">
      <w:pPr>
        <w:pStyle w:val="Proposal"/>
        <w:shd w:val="clear" w:color="auto" w:fill="FFFFFF"/>
        <w:tabs>
          <w:tab w:val="clear" w:pos="1304"/>
        </w:tabs>
        <w:overflowPunct w:val="0"/>
        <w:autoSpaceDE w:val="0"/>
        <w:autoSpaceDN w:val="0"/>
        <w:adjustRightInd w:val="0"/>
        <w:spacing w:before="240" w:after="120" w:line="240" w:lineRule="auto"/>
        <w:ind w:left="1701" w:hanging="1701"/>
        <w:jc w:val="both"/>
        <w:textAlignment w:val="baseline"/>
        <w:rPr>
          <w:rFonts w:eastAsia="Malgun Gothic"/>
          <w:lang w:eastAsia="ko-KR"/>
        </w:rPr>
      </w:pPr>
      <w:bookmarkStart w:id="29" w:name="_Toc505708857"/>
      <w:bookmarkStart w:id="30" w:name="_Toc505708952"/>
      <w:r>
        <w:t>Similar to V2X, for (re)activation/release of an AUL bitmap configuration in a certain cell, the DCI indicates the corresponding AUL bitmap configuration index</w:t>
      </w:r>
      <w:bookmarkEnd w:id="19"/>
      <w:bookmarkEnd w:id="20"/>
      <w:bookmarkEnd w:id="21"/>
      <w:bookmarkEnd w:id="22"/>
      <w:bookmarkEnd w:id="23"/>
      <w:bookmarkEnd w:id="24"/>
      <w:bookmarkEnd w:id="25"/>
      <w:bookmarkEnd w:id="26"/>
      <w:bookmarkEnd w:id="27"/>
      <w:bookmarkEnd w:id="28"/>
      <w:bookmarkEnd w:id="29"/>
      <w:bookmarkEnd w:id="30"/>
    </w:p>
    <w:p w14:paraId="34565642" w14:textId="756493EE" w:rsidR="00846E06" w:rsidRPr="00243DE5" w:rsidRDefault="005668F6" w:rsidP="00243DE5">
      <w:pPr>
        <w:jc w:val="both"/>
      </w:pPr>
      <w:r w:rsidRPr="00243DE5">
        <w:t xml:space="preserve">It is preferred to keep the legacy behavior where 0A is used for signal layer transmission and 4A for MIMO case. </w:t>
      </w:r>
      <w:r w:rsidR="00846E06" w:rsidRPr="00243DE5">
        <w:t xml:space="preserve">This way, it is possible to disable monitoring DCI 0A when a UE is configured with TM2. </w:t>
      </w:r>
    </w:p>
    <w:p w14:paraId="2A61CC1F" w14:textId="465BCC11" w:rsidR="00846E06" w:rsidRPr="008528EF" w:rsidRDefault="00846E06" w:rsidP="008528EF">
      <w:pPr>
        <w:pStyle w:val="Proposal"/>
        <w:tabs>
          <w:tab w:val="clear" w:pos="1304"/>
        </w:tabs>
        <w:overflowPunct w:val="0"/>
        <w:autoSpaceDE w:val="0"/>
        <w:autoSpaceDN w:val="0"/>
        <w:adjustRightInd w:val="0"/>
        <w:spacing w:line="240" w:lineRule="auto"/>
        <w:ind w:left="1701" w:hanging="1701"/>
        <w:jc w:val="both"/>
        <w:textAlignment w:val="baseline"/>
      </w:pPr>
      <w:r w:rsidRPr="00846E06">
        <w:t>DCI 4A is used for activation / deactivation with TM2</w:t>
      </w:r>
    </w:p>
    <w:p w14:paraId="79E82B0D" w14:textId="5F3E8EDF" w:rsidR="00846E06" w:rsidRDefault="008528EF" w:rsidP="00846E06">
      <w:pPr>
        <w:overflowPunct w:val="0"/>
        <w:contextualSpacing/>
        <w:jc w:val="both"/>
        <w:textAlignment w:val="baseline"/>
        <w:rPr>
          <w:rFonts w:eastAsia="MS Mincho"/>
          <w:spacing w:val="-1"/>
          <w:lang w:eastAsia="x-none"/>
        </w:rPr>
      </w:pPr>
      <w:r>
        <w:rPr>
          <w:spacing w:val="-1"/>
          <w:lang w:eastAsia="x-none"/>
        </w:rPr>
        <w:t>T</w:t>
      </w:r>
      <w:r w:rsidR="004959AD">
        <w:rPr>
          <w:spacing w:val="-1"/>
          <w:lang w:eastAsia="x-none"/>
        </w:rPr>
        <w:t xml:space="preserve">he remaining fields in </w:t>
      </w:r>
      <w:r>
        <w:rPr>
          <w:spacing w:val="-1"/>
          <w:lang w:eastAsia="x-none"/>
        </w:rPr>
        <w:t xml:space="preserve">existing </w:t>
      </w:r>
      <w:r w:rsidR="004959AD">
        <w:rPr>
          <w:spacing w:val="-1"/>
          <w:lang w:eastAsia="x-none"/>
        </w:rPr>
        <w:t>DCI 0A/4A</w:t>
      </w:r>
      <w:r w:rsidR="00140C8E">
        <w:rPr>
          <w:spacing w:val="-1"/>
          <w:lang w:eastAsia="x-none"/>
        </w:rPr>
        <w:t xml:space="preserve"> are used</w:t>
      </w:r>
      <w:r w:rsidR="00D20819" w:rsidRPr="00D20819">
        <w:rPr>
          <w:spacing w:val="-1"/>
          <w:lang w:eastAsia="x-none"/>
        </w:rPr>
        <w:t xml:space="preserve"> </w:t>
      </w:r>
      <w:r w:rsidR="00140C8E">
        <w:rPr>
          <w:spacing w:val="-1"/>
          <w:lang w:eastAsia="x-none"/>
        </w:rPr>
        <w:t>to differentiate between</w:t>
      </w:r>
      <w:r w:rsidR="00D20819" w:rsidRPr="00D20819">
        <w:rPr>
          <w:spacing w:val="-1"/>
          <w:lang w:eastAsia="x-none"/>
        </w:rPr>
        <w:t xml:space="preserve"> activation and deactivation (e.g all set to </w:t>
      </w:r>
      <w:r w:rsidR="00140C8E">
        <w:rPr>
          <w:spacing w:val="-1"/>
          <w:lang w:eastAsia="x-none"/>
        </w:rPr>
        <w:t>0</w:t>
      </w:r>
      <w:r w:rsidR="00D20819" w:rsidRPr="00D20819">
        <w:rPr>
          <w:spacing w:val="-1"/>
          <w:lang w:eastAsia="x-none"/>
        </w:rPr>
        <w:t xml:space="preserve"> for activation, all set to </w:t>
      </w:r>
      <w:r w:rsidR="00140C8E">
        <w:rPr>
          <w:spacing w:val="-1"/>
          <w:lang w:eastAsia="x-none"/>
        </w:rPr>
        <w:t>1</w:t>
      </w:r>
      <w:r w:rsidR="00D20819" w:rsidRPr="00D20819">
        <w:rPr>
          <w:spacing w:val="-1"/>
          <w:lang w:eastAsia="x-none"/>
        </w:rPr>
        <w:t xml:space="preserve"> for deactivation).</w:t>
      </w:r>
      <w:r w:rsidR="00D20819">
        <w:rPr>
          <w:spacing w:val="-1"/>
          <w:lang w:eastAsia="x-none"/>
        </w:rPr>
        <w:t xml:space="preserve"> </w:t>
      </w:r>
      <w:r w:rsidR="00243DE5">
        <w:rPr>
          <w:spacing w:val="-1"/>
          <w:lang w:eastAsia="x-none"/>
        </w:rPr>
        <w:t xml:space="preserve">The more fields that are fixed to certain values, the lower the risk of false detection. </w:t>
      </w:r>
    </w:p>
    <w:p w14:paraId="5A682739" w14:textId="68B58C9F" w:rsidR="00846E06" w:rsidRDefault="00846E06" w:rsidP="00846E06">
      <w:pPr>
        <w:overflowPunct w:val="0"/>
        <w:contextualSpacing/>
        <w:jc w:val="both"/>
        <w:textAlignment w:val="baseline"/>
        <w:rPr>
          <w:rFonts w:eastAsia="MS Mincho"/>
          <w:spacing w:val="-1"/>
          <w:lang w:eastAsia="x-none"/>
        </w:rPr>
      </w:pPr>
    </w:p>
    <w:p w14:paraId="17E0A494" w14:textId="1FF8BD3F" w:rsidR="00846E06" w:rsidRDefault="004959AD" w:rsidP="004959AD">
      <w:pPr>
        <w:pStyle w:val="Proposal"/>
        <w:tabs>
          <w:tab w:val="clear" w:pos="1304"/>
        </w:tabs>
        <w:overflowPunct w:val="0"/>
        <w:autoSpaceDE w:val="0"/>
        <w:autoSpaceDN w:val="0"/>
        <w:adjustRightInd w:val="0"/>
        <w:spacing w:after="120" w:line="240" w:lineRule="auto"/>
        <w:ind w:left="1701" w:hanging="1701"/>
        <w:jc w:val="both"/>
        <w:textAlignment w:val="baseline"/>
      </w:pPr>
      <w:r>
        <w:t>T</w:t>
      </w:r>
      <w:r w:rsidR="00846E06">
        <w:t xml:space="preserve">o differentiate between Activation and deactivation, the following fields are set to fixed values: </w:t>
      </w:r>
    </w:p>
    <w:p w14:paraId="48B678AE" w14:textId="514BC6BD" w:rsidR="00846E06" w:rsidRPr="00EA3BD0" w:rsidRDefault="00846E06" w:rsidP="00EA3BD0">
      <w:pPr>
        <w:pStyle w:val="ListParagraph"/>
        <w:numPr>
          <w:ilvl w:val="0"/>
          <w:numId w:val="20"/>
        </w:numPr>
        <w:overflowPunct w:val="0"/>
        <w:jc w:val="both"/>
        <w:textAlignment w:val="baseline"/>
        <w:rPr>
          <w:spacing w:val="-1"/>
          <w:lang w:eastAsia="x-none"/>
        </w:rPr>
      </w:pPr>
      <w:r w:rsidRPr="00EA3BD0">
        <w:rPr>
          <w:spacing w:val="-1"/>
          <w:lang w:eastAsia="x-none"/>
        </w:rPr>
        <w:t>MCS</w:t>
      </w:r>
    </w:p>
    <w:p w14:paraId="63143339" w14:textId="027F58F7" w:rsidR="00846E06" w:rsidRPr="00EA3BD0" w:rsidRDefault="00016F3D" w:rsidP="00EA3BD0">
      <w:pPr>
        <w:pStyle w:val="ListParagraph"/>
        <w:numPr>
          <w:ilvl w:val="0"/>
          <w:numId w:val="20"/>
        </w:numPr>
        <w:overflowPunct w:val="0"/>
        <w:jc w:val="both"/>
        <w:textAlignment w:val="baseline"/>
        <w:rPr>
          <w:spacing w:val="-1"/>
          <w:lang w:eastAsia="x-none"/>
        </w:rPr>
      </w:pPr>
      <w:r w:rsidRPr="00EA3BD0">
        <w:rPr>
          <w:spacing w:val="-1"/>
          <w:lang w:eastAsia="x-none"/>
        </w:rPr>
        <w:t>Resource A</w:t>
      </w:r>
      <w:r w:rsidR="00846E06" w:rsidRPr="00EA3BD0">
        <w:rPr>
          <w:spacing w:val="-1"/>
          <w:lang w:eastAsia="x-none"/>
        </w:rPr>
        <w:t xml:space="preserve">llocation </w:t>
      </w:r>
    </w:p>
    <w:p w14:paraId="5BEBD344" w14:textId="0E7BB8E7" w:rsidR="008528EF" w:rsidRPr="00EA3BD0" w:rsidRDefault="008528EF" w:rsidP="00EA3BD0">
      <w:pPr>
        <w:pStyle w:val="ListParagraph"/>
        <w:numPr>
          <w:ilvl w:val="0"/>
          <w:numId w:val="20"/>
        </w:numPr>
        <w:overflowPunct w:val="0"/>
        <w:jc w:val="both"/>
        <w:textAlignment w:val="baseline"/>
        <w:rPr>
          <w:spacing w:val="-1"/>
          <w:lang w:eastAsia="x-none"/>
        </w:rPr>
      </w:pPr>
      <w:r w:rsidRPr="00EA3BD0">
        <w:rPr>
          <w:spacing w:val="-1"/>
          <w:lang w:eastAsia="x-none"/>
        </w:rPr>
        <w:t>Remaining fields in existing DCI 0A/4A</w:t>
      </w:r>
    </w:p>
    <w:p w14:paraId="1FA75E18" w14:textId="0C5F5667" w:rsidR="00625B29" w:rsidRDefault="00625B29" w:rsidP="00FE2996">
      <w:pPr>
        <w:pStyle w:val="Heading1"/>
        <w:jc w:val="both"/>
      </w:pPr>
      <w:r w:rsidRPr="00CE0424">
        <w:t>Conclusion</w:t>
      </w:r>
    </w:p>
    <w:p w14:paraId="5A108EF6" w14:textId="49A3E9C2" w:rsidR="00E03438" w:rsidRPr="00146AC6" w:rsidRDefault="00C25FD0" w:rsidP="00401885">
      <w:pPr>
        <w:jc w:val="both"/>
      </w:pPr>
      <w:r>
        <w:rPr>
          <w:bCs/>
        </w:rPr>
        <w:t>In this contribution,</w:t>
      </w:r>
      <w:r w:rsidRPr="00670ADC">
        <w:t xml:space="preserve"> we provide our views on configuring autonomous uplink access </w:t>
      </w:r>
      <w:r>
        <w:t xml:space="preserve">(AUL) </w:t>
      </w:r>
      <w:r w:rsidRPr="00670ADC">
        <w:t>on LAA SCells.</w:t>
      </w:r>
      <w:r>
        <w:rPr>
          <w:bCs/>
        </w:rPr>
        <w:t xml:space="preserve"> Accordingly, we propose the following:</w:t>
      </w:r>
    </w:p>
    <w:p w14:paraId="311D4F26" w14:textId="77777777" w:rsidR="00EA3BD0" w:rsidRDefault="00C25FD0" w:rsidP="00DB291C">
      <w:pPr>
        <w:pStyle w:val="Proposal"/>
        <w:numPr>
          <w:ilvl w:val="0"/>
          <w:numId w:val="22"/>
        </w:numPr>
        <w:tabs>
          <w:tab w:val="clear" w:pos="1304"/>
        </w:tabs>
        <w:overflowPunct w:val="0"/>
        <w:autoSpaceDE w:val="0"/>
        <w:autoSpaceDN w:val="0"/>
        <w:adjustRightInd w:val="0"/>
        <w:spacing w:after="120" w:line="240" w:lineRule="auto"/>
        <w:jc w:val="both"/>
        <w:textAlignment w:val="baseline"/>
      </w:pPr>
      <w:r>
        <w:t xml:space="preserve">  </w:t>
      </w:r>
      <w:r w:rsidR="00EA3BD0">
        <w:t>Multiple AUL bitmap configurations can be configured by the eNB.</w:t>
      </w:r>
    </w:p>
    <w:p w14:paraId="4C724503" w14:textId="77777777" w:rsidR="00EA3BD0" w:rsidRDefault="00EA3BD0" w:rsidP="00EA3BD0">
      <w:pPr>
        <w:pStyle w:val="Proposal"/>
        <w:tabs>
          <w:tab w:val="clear" w:pos="1304"/>
        </w:tabs>
        <w:overflowPunct w:val="0"/>
        <w:autoSpaceDE w:val="0"/>
        <w:autoSpaceDN w:val="0"/>
        <w:adjustRightInd w:val="0"/>
        <w:spacing w:after="120" w:line="240" w:lineRule="auto"/>
        <w:ind w:left="1701" w:hanging="1701"/>
        <w:jc w:val="both"/>
        <w:textAlignment w:val="baseline"/>
      </w:pPr>
      <w:r>
        <w:lastRenderedPageBreak/>
        <w:t>A single AUL bitmap configuration can be activated per LAA serving cell.</w:t>
      </w:r>
    </w:p>
    <w:p w14:paraId="5AF9E7AB" w14:textId="77777777" w:rsidR="00DB291C" w:rsidRDefault="00DB291C" w:rsidP="00DB291C">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The following parameters are RRC signaled: </w:t>
      </w:r>
    </w:p>
    <w:p w14:paraId="403977C4" w14:textId="77777777" w:rsidR="00DB291C" w:rsidRPr="00B975DC" w:rsidRDefault="00DB291C" w:rsidP="00DB291C">
      <w:pPr>
        <w:pStyle w:val="BodyText"/>
        <w:numPr>
          <w:ilvl w:val="0"/>
          <w:numId w:val="17"/>
        </w:numPr>
        <w:spacing w:after="120" w:line="240" w:lineRule="auto"/>
        <w:jc w:val="both"/>
        <w:rPr>
          <w:b/>
          <w:bCs/>
        </w:rPr>
      </w:pPr>
      <w:r w:rsidRPr="00B975DC">
        <w:rPr>
          <w:b/>
          <w:bCs/>
        </w:rPr>
        <w:t>UE-specific starting position set for full-bandwidth AUL PUSCH within DL MCOT</w:t>
      </w:r>
    </w:p>
    <w:p w14:paraId="77B48293" w14:textId="77777777" w:rsidR="00DB291C" w:rsidRPr="00B975DC" w:rsidRDefault="00DB291C" w:rsidP="00DB291C">
      <w:pPr>
        <w:pStyle w:val="BodyText"/>
        <w:numPr>
          <w:ilvl w:val="0"/>
          <w:numId w:val="17"/>
        </w:numPr>
        <w:spacing w:after="120" w:line="240" w:lineRule="auto"/>
        <w:jc w:val="both"/>
        <w:rPr>
          <w:b/>
          <w:bCs/>
        </w:rPr>
      </w:pPr>
      <w:r w:rsidRPr="00B975DC">
        <w:rPr>
          <w:b/>
          <w:bCs/>
        </w:rPr>
        <w:t>UE-specific starting position set for partial-bandwidth AUL PUSCH within DL MCOT</w:t>
      </w:r>
    </w:p>
    <w:p w14:paraId="63024294" w14:textId="77777777" w:rsidR="00DB291C" w:rsidRPr="00B975DC" w:rsidRDefault="00DB291C" w:rsidP="00DB291C">
      <w:pPr>
        <w:pStyle w:val="BodyText"/>
        <w:numPr>
          <w:ilvl w:val="0"/>
          <w:numId w:val="17"/>
        </w:numPr>
        <w:spacing w:after="120" w:line="240" w:lineRule="auto"/>
        <w:jc w:val="both"/>
        <w:rPr>
          <w:b/>
          <w:bCs/>
        </w:rPr>
      </w:pPr>
      <w:r w:rsidRPr="00B975DC">
        <w:rPr>
          <w:b/>
          <w:bCs/>
        </w:rPr>
        <w:t>UE-specific starting position set for full-bandwidth AUL PUSCH outside DL MCOT</w:t>
      </w:r>
    </w:p>
    <w:p w14:paraId="68C1074C" w14:textId="77777777" w:rsidR="00DB291C" w:rsidRPr="00B975DC" w:rsidRDefault="00DB291C" w:rsidP="00DB291C">
      <w:pPr>
        <w:pStyle w:val="BodyText"/>
        <w:numPr>
          <w:ilvl w:val="0"/>
          <w:numId w:val="17"/>
        </w:numPr>
        <w:spacing w:after="120" w:line="240" w:lineRule="auto"/>
        <w:jc w:val="both"/>
        <w:rPr>
          <w:b/>
          <w:bCs/>
        </w:rPr>
      </w:pPr>
      <w:r w:rsidRPr="00B975DC">
        <w:rPr>
          <w:b/>
          <w:bCs/>
        </w:rPr>
        <w:t>UE-specific starting position set for partial-bandwidth AUL PUSCH outside DL MCOT</w:t>
      </w:r>
    </w:p>
    <w:p w14:paraId="0A1AAE44" w14:textId="77777777" w:rsidR="00DB291C" w:rsidRDefault="00DB291C" w:rsidP="00DB291C">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It is up to RAN2 to decide if new RNTI is defined for AUL operation or if SPS-RNTI is reused. </w:t>
      </w:r>
    </w:p>
    <w:p w14:paraId="1BAA2C20" w14:textId="77777777" w:rsidR="00DB291C" w:rsidRDefault="00DB291C" w:rsidP="00DB291C">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TPC can be added to </w:t>
      </w:r>
      <w:r w:rsidRPr="005668F6">
        <w:t xml:space="preserve">AUL DCI activation </w:t>
      </w:r>
    </w:p>
    <w:p w14:paraId="5B79D97D" w14:textId="77777777" w:rsidR="00DB291C" w:rsidRDefault="00DB291C" w:rsidP="00DB291C">
      <w:pPr>
        <w:pStyle w:val="Proposal"/>
        <w:tabs>
          <w:tab w:val="clear" w:pos="1304"/>
        </w:tabs>
        <w:overflowPunct w:val="0"/>
        <w:autoSpaceDE w:val="0"/>
        <w:autoSpaceDN w:val="0"/>
        <w:adjustRightInd w:val="0"/>
        <w:spacing w:after="120" w:line="240" w:lineRule="auto"/>
        <w:ind w:left="1701" w:hanging="1701"/>
        <w:jc w:val="both"/>
        <w:textAlignment w:val="baseline"/>
      </w:pPr>
      <w:r>
        <w:t>Similar to V2X, each AUL bitmap configuration is associated to a bitmap configuration index.</w:t>
      </w:r>
    </w:p>
    <w:p w14:paraId="6C9980E0" w14:textId="77777777" w:rsidR="00DB291C" w:rsidRPr="00243DE5" w:rsidRDefault="00DB291C" w:rsidP="00DB291C">
      <w:pPr>
        <w:pStyle w:val="Proposal"/>
        <w:shd w:val="clear" w:color="auto" w:fill="FFFFFF"/>
        <w:tabs>
          <w:tab w:val="clear" w:pos="1304"/>
        </w:tabs>
        <w:overflowPunct w:val="0"/>
        <w:autoSpaceDE w:val="0"/>
        <w:autoSpaceDN w:val="0"/>
        <w:adjustRightInd w:val="0"/>
        <w:spacing w:before="240" w:after="120" w:line="240" w:lineRule="auto"/>
        <w:ind w:left="1701" w:hanging="1701"/>
        <w:jc w:val="both"/>
        <w:textAlignment w:val="baseline"/>
        <w:rPr>
          <w:rFonts w:eastAsia="Malgun Gothic"/>
          <w:lang w:eastAsia="ko-KR"/>
        </w:rPr>
      </w:pPr>
      <w:r>
        <w:t>Similar to V2X, for (re)activation/release of an AUL bitmap configuration in a certain cell, the DCI indicates the corresponding AUL bitmap configuration index</w:t>
      </w:r>
    </w:p>
    <w:p w14:paraId="7A8B241A" w14:textId="77777777" w:rsidR="00DB291C" w:rsidRPr="008528EF" w:rsidRDefault="00DB291C" w:rsidP="00DB291C">
      <w:pPr>
        <w:pStyle w:val="Proposal"/>
        <w:tabs>
          <w:tab w:val="clear" w:pos="1304"/>
        </w:tabs>
        <w:overflowPunct w:val="0"/>
        <w:autoSpaceDE w:val="0"/>
        <w:autoSpaceDN w:val="0"/>
        <w:adjustRightInd w:val="0"/>
        <w:spacing w:line="240" w:lineRule="auto"/>
        <w:ind w:left="1701" w:hanging="1701"/>
        <w:jc w:val="both"/>
        <w:textAlignment w:val="baseline"/>
      </w:pPr>
      <w:r w:rsidRPr="00846E06">
        <w:t>DCI 4A is used for activation / deactivation with TM2</w:t>
      </w:r>
    </w:p>
    <w:p w14:paraId="0D6643EB" w14:textId="77777777" w:rsidR="00DB291C" w:rsidRDefault="00DB291C" w:rsidP="00DB291C">
      <w:pPr>
        <w:pStyle w:val="Proposal"/>
        <w:tabs>
          <w:tab w:val="clear" w:pos="1304"/>
        </w:tabs>
        <w:overflowPunct w:val="0"/>
        <w:autoSpaceDE w:val="0"/>
        <w:autoSpaceDN w:val="0"/>
        <w:adjustRightInd w:val="0"/>
        <w:spacing w:after="120" w:line="240" w:lineRule="auto"/>
        <w:ind w:left="1701" w:hanging="1701"/>
        <w:jc w:val="both"/>
        <w:textAlignment w:val="baseline"/>
      </w:pPr>
      <w:r>
        <w:t xml:space="preserve">To differentiate between Activation and deactivation, the following fields are set to fixed values: </w:t>
      </w:r>
    </w:p>
    <w:p w14:paraId="27483C3B" w14:textId="77777777" w:rsidR="00DB291C" w:rsidRPr="00EA3BD0" w:rsidRDefault="00DB291C" w:rsidP="00DB291C">
      <w:pPr>
        <w:pStyle w:val="ListParagraph"/>
        <w:numPr>
          <w:ilvl w:val="0"/>
          <w:numId w:val="20"/>
        </w:numPr>
        <w:overflowPunct w:val="0"/>
        <w:jc w:val="both"/>
        <w:textAlignment w:val="baseline"/>
        <w:rPr>
          <w:spacing w:val="-1"/>
          <w:lang w:eastAsia="x-none"/>
        </w:rPr>
      </w:pPr>
      <w:r w:rsidRPr="00EA3BD0">
        <w:rPr>
          <w:spacing w:val="-1"/>
          <w:lang w:eastAsia="x-none"/>
        </w:rPr>
        <w:t>MCS</w:t>
      </w:r>
    </w:p>
    <w:p w14:paraId="193B5D35" w14:textId="77777777" w:rsidR="00DB291C" w:rsidRPr="00EA3BD0" w:rsidRDefault="00DB291C" w:rsidP="00DB291C">
      <w:pPr>
        <w:pStyle w:val="ListParagraph"/>
        <w:numPr>
          <w:ilvl w:val="0"/>
          <w:numId w:val="20"/>
        </w:numPr>
        <w:overflowPunct w:val="0"/>
        <w:jc w:val="both"/>
        <w:textAlignment w:val="baseline"/>
        <w:rPr>
          <w:spacing w:val="-1"/>
          <w:lang w:eastAsia="x-none"/>
        </w:rPr>
      </w:pPr>
      <w:r w:rsidRPr="00EA3BD0">
        <w:rPr>
          <w:spacing w:val="-1"/>
          <w:lang w:eastAsia="x-none"/>
        </w:rPr>
        <w:t xml:space="preserve">Resource Allocation </w:t>
      </w:r>
    </w:p>
    <w:p w14:paraId="40826EE8" w14:textId="4CB79633" w:rsidR="00C25FD0" w:rsidRPr="00DB291C" w:rsidRDefault="00DB291C" w:rsidP="00DB291C">
      <w:pPr>
        <w:pStyle w:val="ListParagraph"/>
        <w:numPr>
          <w:ilvl w:val="0"/>
          <w:numId w:val="20"/>
        </w:numPr>
        <w:overflowPunct w:val="0"/>
        <w:jc w:val="both"/>
        <w:textAlignment w:val="baseline"/>
        <w:rPr>
          <w:spacing w:val="-1"/>
          <w:lang w:eastAsia="x-none"/>
        </w:rPr>
      </w:pPr>
      <w:r w:rsidRPr="00EA3BD0">
        <w:rPr>
          <w:spacing w:val="-1"/>
          <w:lang w:eastAsia="x-none"/>
        </w:rPr>
        <w:t>Remaining fields in existing DCI 0A/4A</w:t>
      </w:r>
    </w:p>
    <w:p w14:paraId="72F24642" w14:textId="77777777" w:rsidR="00625B29" w:rsidRPr="00CE0424" w:rsidRDefault="00625B29" w:rsidP="00FE2996">
      <w:pPr>
        <w:pStyle w:val="Heading1"/>
        <w:jc w:val="both"/>
      </w:pPr>
      <w:bookmarkStart w:id="31" w:name="_In-sequence_SDU_delivery"/>
      <w:bookmarkEnd w:id="31"/>
      <w:r w:rsidRPr="00CE0424">
        <w:t>References</w:t>
      </w:r>
    </w:p>
    <w:p w14:paraId="6236B4E1" w14:textId="161831D0" w:rsidR="007047C8" w:rsidRPr="007047C8" w:rsidRDefault="007047C8" w:rsidP="007047C8">
      <w:pPr>
        <w:pStyle w:val="Reference"/>
        <w:jc w:val="both"/>
        <w:rPr>
          <w:lang w:val="en-GB" w:eastAsia="ja-JP"/>
        </w:rPr>
      </w:pPr>
      <w:bookmarkStart w:id="32" w:name="_Ref488061725"/>
      <w:r>
        <w:rPr>
          <w:lang w:val="en-GB"/>
        </w:rPr>
        <w:t>Chairman’s Notes, RAN1 WG #90</w:t>
      </w:r>
      <w:bookmarkEnd w:id="32"/>
    </w:p>
    <w:p w14:paraId="7939847C" w14:textId="69275C1E" w:rsidR="007047C8" w:rsidRPr="007047C8" w:rsidRDefault="007047C8" w:rsidP="007047C8">
      <w:pPr>
        <w:pStyle w:val="Reference"/>
        <w:jc w:val="both"/>
        <w:rPr>
          <w:lang w:val="en-GB" w:eastAsia="ja-JP"/>
        </w:rPr>
      </w:pPr>
      <w:r>
        <w:rPr>
          <w:lang w:val="en-GB"/>
        </w:rPr>
        <w:t>Chairman’s Notes, RAN1 WG #90bis</w:t>
      </w:r>
    </w:p>
    <w:p w14:paraId="14BAE8EC" w14:textId="26E9214E" w:rsidR="00DB291C" w:rsidRPr="007047C8" w:rsidRDefault="00DB291C" w:rsidP="00DB291C">
      <w:pPr>
        <w:pStyle w:val="Reference"/>
        <w:jc w:val="both"/>
        <w:rPr>
          <w:lang w:val="en-GB" w:eastAsia="ja-JP"/>
        </w:rPr>
      </w:pPr>
      <w:r>
        <w:rPr>
          <w:lang w:val="en-GB"/>
        </w:rPr>
        <w:t>Chairman’s Notes, RAN1 WG #91</w:t>
      </w:r>
    </w:p>
    <w:p w14:paraId="5498E414" w14:textId="3683A281" w:rsidR="00585FFD" w:rsidRPr="00A62FAE" w:rsidRDefault="00585FFD" w:rsidP="00DB291C">
      <w:pPr>
        <w:pStyle w:val="Reference"/>
        <w:numPr>
          <w:ilvl w:val="0"/>
          <w:numId w:val="0"/>
        </w:numPr>
        <w:ind w:left="567"/>
        <w:jc w:val="both"/>
        <w:rPr>
          <w:lang w:val="en-GB"/>
        </w:rPr>
      </w:pPr>
    </w:p>
    <w:sectPr w:rsidR="00585FFD" w:rsidRPr="00A62FA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09D47" w14:textId="77777777" w:rsidR="00310D9E" w:rsidRDefault="00310D9E">
      <w:r>
        <w:separator/>
      </w:r>
    </w:p>
  </w:endnote>
  <w:endnote w:type="continuationSeparator" w:id="0">
    <w:p w14:paraId="42AAA885" w14:textId="77777777" w:rsidR="00310D9E" w:rsidRDefault="0031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30985DE4"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60EA3" w14:textId="77777777" w:rsidR="00310D9E" w:rsidRDefault="00310D9E">
      <w:r>
        <w:separator/>
      </w:r>
    </w:p>
  </w:footnote>
  <w:footnote w:type="continuationSeparator" w:id="0">
    <w:p w14:paraId="6590737F" w14:textId="77777777" w:rsidR="00310D9E" w:rsidRDefault="0031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6E002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1E6317"/>
    <w:multiLevelType w:val="hybridMultilevel"/>
    <w:tmpl w:val="5A28265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712152"/>
    <w:multiLevelType w:val="hybridMultilevel"/>
    <w:tmpl w:val="E224FF02"/>
    <w:lvl w:ilvl="0" w:tplc="81A0346A">
      <w:start w:val="1"/>
      <w:numFmt w:val="bullet"/>
      <w:lvlText w:val=""/>
      <w:lvlJc w:val="righ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8485AB9"/>
    <w:multiLevelType w:val="hybridMultilevel"/>
    <w:tmpl w:val="873EF3AC"/>
    <w:lvl w:ilvl="0" w:tplc="2892BCF0">
      <w:numFmt w:val="bullet"/>
      <w:lvlText w:val="-"/>
      <w:lvlJc w:val="left"/>
      <w:pPr>
        <w:tabs>
          <w:tab w:val="num" w:pos="2438"/>
        </w:tabs>
        <w:ind w:left="2438" w:hanging="1304"/>
      </w:pPr>
      <w:rPr>
        <w:rFonts w:ascii="Arial" w:eastAsia="Times New Roman" w:hAnsi="Arial" w:cs="Arial" w:hint="default"/>
      </w:rPr>
    </w:lvl>
    <w:lvl w:ilvl="1" w:tplc="04090019">
      <w:start w:val="1"/>
      <w:numFmt w:val="lowerLetter"/>
      <w:lvlText w:val="%2."/>
      <w:lvlJc w:val="left"/>
      <w:pPr>
        <w:tabs>
          <w:tab w:val="num" w:pos="2574"/>
        </w:tabs>
        <w:ind w:left="2574" w:hanging="360"/>
      </w:pPr>
    </w:lvl>
    <w:lvl w:ilvl="2" w:tplc="81A0346A">
      <w:start w:val="1"/>
      <w:numFmt w:val="bullet"/>
      <w:lvlText w:val=""/>
      <w:lvlJc w:val="right"/>
      <w:pPr>
        <w:tabs>
          <w:tab w:val="num" w:pos="3294"/>
        </w:tabs>
        <w:ind w:left="3294" w:hanging="180"/>
      </w:pPr>
      <w:rPr>
        <w:rFonts w:ascii="Symbol" w:hAnsi="Symbol" w:hint="default"/>
      </w:r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6" w15:restartNumberingAfterBreak="0">
    <w:nsid w:val="3AA46647"/>
    <w:multiLevelType w:val="hybridMultilevel"/>
    <w:tmpl w:val="F1AC04B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81A0346A">
      <w:start w:val="1"/>
      <w:numFmt w:val="bullet"/>
      <w:lvlText w:val=""/>
      <w:lvlJc w:val="righ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cs="Times New Roman" w:hint="default"/>
      </w:rPr>
    </w:lvl>
    <w:lvl w:ilvl="1" w:tplc="497CA21C">
      <w:numFmt w:val="bullet"/>
      <w:lvlText w:val="–"/>
      <w:lvlJc w:val="left"/>
      <w:pPr>
        <w:tabs>
          <w:tab w:val="num" w:pos="1440"/>
        </w:tabs>
        <w:ind w:left="1440" w:hanging="360"/>
      </w:pPr>
      <w:rPr>
        <w:rFonts w:ascii="Arial" w:hAnsi="Arial" w:cs="Times New Roman" w:hint="default"/>
      </w:rPr>
    </w:lvl>
    <w:lvl w:ilvl="2" w:tplc="806402E0">
      <w:numFmt w:val="bullet"/>
      <w:lvlText w:val="•"/>
      <w:lvlJc w:val="left"/>
      <w:pPr>
        <w:tabs>
          <w:tab w:val="num" w:pos="2160"/>
        </w:tabs>
        <w:ind w:left="2160" w:hanging="360"/>
      </w:pPr>
      <w:rPr>
        <w:rFonts w:ascii="Arial" w:hAnsi="Arial" w:cs="Times New Roman" w:hint="default"/>
      </w:rPr>
    </w:lvl>
    <w:lvl w:ilvl="3" w:tplc="97AC4DB4">
      <w:start w:val="1"/>
      <w:numFmt w:val="bullet"/>
      <w:lvlText w:val="•"/>
      <w:lvlJc w:val="left"/>
      <w:pPr>
        <w:tabs>
          <w:tab w:val="num" w:pos="2880"/>
        </w:tabs>
        <w:ind w:left="2880" w:hanging="360"/>
      </w:pPr>
      <w:rPr>
        <w:rFonts w:ascii="Arial" w:hAnsi="Arial" w:cs="Times New Roman" w:hint="default"/>
      </w:rPr>
    </w:lvl>
    <w:lvl w:ilvl="4" w:tplc="775A5254">
      <w:start w:val="1"/>
      <w:numFmt w:val="bullet"/>
      <w:lvlText w:val="•"/>
      <w:lvlJc w:val="left"/>
      <w:pPr>
        <w:tabs>
          <w:tab w:val="num" w:pos="3600"/>
        </w:tabs>
        <w:ind w:left="3600" w:hanging="360"/>
      </w:pPr>
      <w:rPr>
        <w:rFonts w:ascii="Arial" w:hAnsi="Arial" w:cs="Times New Roman" w:hint="default"/>
      </w:rPr>
    </w:lvl>
    <w:lvl w:ilvl="5" w:tplc="B5A65870">
      <w:start w:val="1"/>
      <w:numFmt w:val="bullet"/>
      <w:lvlText w:val="•"/>
      <w:lvlJc w:val="left"/>
      <w:pPr>
        <w:tabs>
          <w:tab w:val="num" w:pos="4320"/>
        </w:tabs>
        <w:ind w:left="4320" w:hanging="360"/>
      </w:pPr>
      <w:rPr>
        <w:rFonts w:ascii="Arial" w:hAnsi="Arial" w:cs="Times New Roman" w:hint="default"/>
      </w:rPr>
    </w:lvl>
    <w:lvl w:ilvl="6" w:tplc="47DC3C2E">
      <w:start w:val="1"/>
      <w:numFmt w:val="bullet"/>
      <w:lvlText w:val="•"/>
      <w:lvlJc w:val="left"/>
      <w:pPr>
        <w:tabs>
          <w:tab w:val="num" w:pos="5040"/>
        </w:tabs>
        <w:ind w:left="5040" w:hanging="360"/>
      </w:pPr>
      <w:rPr>
        <w:rFonts w:ascii="Arial" w:hAnsi="Arial" w:cs="Times New Roman" w:hint="default"/>
      </w:rPr>
    </w:lvl>
    <w:lvl w:ilvl="7" w:tplc="42C6F03C">
      <w:start w:val="1"/>
      <w:numFmt w:val="bullet"/>
      <w:lvlText w:val="•"/>
      <w:lvlJc w:val="left"/>
      <w:pPr>
        <w:tabs>
          <w:tab w:val="num" w:pos="5760"/>
        </w:tabs>
        <w:ind w:left="5760" w:hanging="360"/>
      </w:pPr>
      <w:rPr>
        <w:rFonts w:ascii="Arial" w:hAnsi="Arial" w:cs="Times New Roman" w:hint="default"/>
      </w:rPr>
    </w:lvl>
    <w:lvl w:ilvl="8" w:tplc="AE1C1C6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A92A60"/>
    <w:multiLevelType w:val="hybridMultilevel"/>
    <w:tmpl w:val="E1040FCA"/>
    <w:lvl w:ilvl="0" w:tplc="37E49AAA">
      <w:start w:val="1"/>
      <w:numFmt w:val="bullet"/>
      <w:lvlText w:val="•"/>
      <w:lvlJc w:val="left"/>
      <w:pPr>
        <w:tabs>
          <w:tab w:val="num" w:pos="720"/>
        </w:tabs>
        <w:ind w:left="720" w:hanging="360"/>
      </w:pPr>
      <w:rPr>
        <w:rFonts w:ascii="Arial" w:hAnsi="Arial" w:cs="Times New Roman" w:hint="default"/>
      </w:rPr>
    </w:lvl>
    <w:lvl w:ilvl="1" w:tplc="DB5CEABA">
      <w:start w:val="1"/>
      <w:numFmt w:val="bullet"/>
      <w:lvlText w:val="•"/>
      <w:lvlJc w:val="left"/>
      <w:pPr>
        <w:tabs>
          <w:tab w:val="num" w:pos="1440"/>
        </w:tabs>
        <w:ind w:left="1440" w:hanging="360"/>
      </w:pPr>
      <w:rPr>
        <w:rFonts w:ascii="Arial" w:hAnsi="Arial" w:cs="Times New Roman" w:hint="default"/>
      </w:rPr>
    </w:lvl>
    <w:lvl w:ilvl="2" w:tplc="618E114E">
      <w:start w:val="1"/>
      <w:numFmt w:val="bullet"/>
      <w:lvlText w:val="•"/>
      <w:lvlJc w:val="left"/>
      <w:pPr>
        <w:tabs>
          <w:tab w:val="num" w:pos="2160"/>
        </w:tabs>
        <w:ind w:left="2160" w:hanging="360"/>
      </w:pPr>
      <w:rPr>
        <w:rFonts w:ascii="Arial" w:hAnsi="Arial" w:cs="Times New Roman" w:hint="default"/>
      </w:rPr>
    </w:lvl>
    <w:lvl w:ilvl="3" w:tplc="3430864E">
      <w:start w:val="1"/>
      <w:numFmt w:val="bullet"/>
      <w:lvlText w:val="•"/>
      <w:lvlJc w:val="left"/>
      <w:pPr>
        <w:tabs>
          <w:tab w:val="num" w:pos="2880"/>
        </w:tabs>
        <w:ind w:left="2880" w:hanging="360"/>
      </w:pPr>
      <w:rPr>
        <w:rFonts w:ascii="Arial" w:hAnsi="Arial" w:cs="Times New Roman" w:hint="default"/>
      </w:rPr>
    </w:lvl>
    <w:lvl w:ilvl="4" w:tplc="BE2079E6">
      <w:start w:val="1"/>
      <w:numFmt w:val="bullet"/>
      <w:lvlText w:val="•"/>
      <w:lvlJc w:val="left"/>
      <w:pPr>
        <w:tabs>
          <w:tab w:val="num" w:pos="3600"/>
        </w:tabs>
        <w:ind w:left="3600" w:hanging="360"/>
      </w:pPr>
      <w:rPr>
        <w:rFonts w:ascii="Arial" w:hAnsi="Arial" w:cs="Times New Roman" w:hint="default"/>
      </w:rPr>
    </w:lvl>
    <w:lvl w:ilvl="5" w:tplc="C9A8DE44">
      <w:start w:val="1"/>
      <w:numFmt w:val="bullet"/>
      <w:lvlText w:val="•"/>
      <w:lvlJc w:val="left"/>
      <w:pPr>
        <w:tabs>
          <w:tab w:val="num" w:pos="4320"/>
        </w:tabs>
        <w:ind w:left="4320" w:hanging="360"/>
      </w:pPr>
      <w:rPr>
        <w:rFonts w:ascii="Arial" w:hAnsi="Arial" w:cs="Times New Roman" w:hint="default"/>
      </w:rPr>
    </w:lvl>
    <w:lvl w:ilvl="6" w:tplc="52C0ED4A">
      <w:start w:val="1"/>
      <w:numFmt w:val="bullet"/>
      <w:lvlText w:val="•"/>
      <w:lvlJc w:val="left"/>
      <w:pPr>
        <w:tabs>
          <w:tab w:val="num" w:pos="5040"/>
        </w:tabs>
        <w:ind w:left="5040" w:hanging="360"/>
      </w:pPr>
      <w:rPr>
        <w:rFonts w:ascii="Arial" w:hAnsi="Arial" w:cs="Times New Roman" w:hint="default"/>
      </w:rPr>
    </w:lvl>
    <w:lvl w:ilvl="7" w:tplc="ED5804D2">
      <w:start w:val="1"/>
      <w:numFmt w:val="bullet"/>
      <w:lvlText w:val="•"/>
      <w:lvlJc w:val="left"/>
      <w:pPr>
        <w:tabs>
          <w:tab w:val="num" w:pos="5760"/>
        </w:tabs>
        <w:ind w:left="5760" w:hanging="360"/>
      </w:pPr>
      <w:rPr>
        <w:rFonts w:ascii="Arial" w:hAnsi="Arial" w:cs="Times New Roman" w:hint="default"/>
      </w:rPr>
    </w:lvl>
    <w:lvl w:ilvl="8" w:tplc="5316F4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7E30B5"/>
    <w:multiLevelType w:val="hybridMultilevel"/>
    <w:tmpl w:val="B9D0D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A91C97"/>
    <w:multiLevelType w:val="hybridMultilevel"/>
    <w:tmpl w:val="E6FCF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1339C"/>
    <w:multiLevelType w:val="hybridMultilevel"/>
    <w:tmpl w:val="6EB6C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27A1F"/>
    <w:multiLevelType w:val="hybridMultilevel"/>
    <w:tmpl w:val="50764AAC"/>
    <w:lvl w:ilvl="0" w:tplc="04090001">
      <w:start w:val="1"/>
      <w:numFmt w:val="bullet"/>
      <w:lvlText w:val=""/>
      <w:lvlJc w:val="left"/>
      <w:pPr>
        <w:ind w:left="720" w:hanging="360"/>
      </w:pPr>
      <w:rPr>
        <w:rFonts w:ascii="Symbol" w:hAnsi="Symbol" w:hint="default"/>
      </w:rPr>
    </w:lvl>
    <w:lvl w:ilvl="1" w:tplc="0E30A3C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8"/>
  </w:num>
  <w:num w:numId="5">
    <w:abstractNumId w:val="2"/>
  </w:num>
  <w:num w:numId="6">
    <w:abstractNumId w:val="10"/>
  </w:num>
  <w:num w:numId="7">
    <w:abstractNumId w:val="15"/>
  </w:num>
  <w:num w:numId="8">
    <w:abstractNumId w:val="3"/>
  </w:num>
  <w:num w:numId="9">
    <w:abstractNumId w:val="13"/>
  </w:num>
  <w:num w:numId="10">
    <w:abstractNumId w:val="14"/>
  </w:num>
  <w:num w:numId="11">
    <w:abstractNumId w:val="16"/>
  </w:num>
  <w:num w:numId="12">
    <w:abstractNumId w:val="11"/>
  </w:num>
  <w:num w:numId="13">
    <w:abstractNumId w:val="9"/>
  </w:num>
  <w:num w:numId="14">
    <w:abstractNumId w:val="7"/>
  </w:num>
  <w:num w:numId="15">
    <w:abstractNumId w:val="5"/>
  </w:num>
  <w:num w:numId="16">
    <w:abstractNumId w:val="18"/>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1"/>
  </w:num>
  <w:num w:numId="21">
    <w:abstractNumId w:val="6"/>
  </w:num>
  <w:num w:numId="22">
    <w:abstractNumId w:val="6"/>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713"/>
    <w:rsid w:val="00006446"/>
    <w:rsid w:val="00006896"/>
    <w:rsid w:val="00007CDC"/>
    <w:rsid w:val="0001009B"/>
    <w:rsid w:val="00011B28"/>
    <w:rsid w:val="00015D15"/>
    <w:rsid w:val="00016F3D"/>
    <w:rsid w:val="0002564D"/>
    <w:rsid w:val="00025ECA"/>
    <w:rsid w:val="000325B8"/>
    <w:rsid w:val="00034C15"/>
    <w:rsid w:val="00036BA1"/>
    <w:rsid w:val="000422E2"/>
    <w:rsid w:val="00042F22"/>
    <w:rsid w:val="000444EF"/>
    <w:rsid w:val="00052A07"/>
    <w:rsid w:val="0005317B"/>
    <w:rsid w:val="000534E3"/>
    <w:rsid w:val="00055878"/>
    <w:rsid w:val="0005606A"/>
    <w:rsid w:val="00057117"/>
    <w:rsid w:val="000616E7"/>
    <w:rsid w:val="0006487E"/>
    <w:rsid w:val="00065E1A"/>
    <w:rsid w:val="00065F72"/>
    <w:rsid w:val="00077E5F"/>
    <w:rsid w:val="0008036A"/>
    <w:rsid w:val="000817DE"/>
    <w:rsid w:val="00081AE6"/>
    <w:rsid w:val="00084B49"/>
    <w:rsid w:val="000855EB"/>
    <w:rsid w:val="00085B52"/>
    <w:rsid w:val="000866F2"/>
    <w:rsid w:val="0009009F"/>
    <w:rsid w:val="00091557"/>
    <w:rsid w:val="000924C1"/>
    <w:rsid w:val="000924F0"/>
    <w:rsid w:val="00093474"/>
    <w:rsid w:val="0009426A"/>
    <w:rsid w:val="0009510F"/>
    <w:rsid w:val="000A1B7B"/>
    <w:rsid w:val="000A56F2"/>
    <w:rsid w:val="000B2719"/>
    <w:rsid w:val="000B30B5"/>
    <w:rsid w:val="000B3A8F"/>
    <w:rsid w:val="000B4AB9"/>
    <w:rsid w:val="000B58C3"/>
    <w:rsid w:val="000B61E9"/>
    <w:rsid w:val="000C0A0E"/>
    <w:rsid w:val="000C165A"/>
    <w:rsid w:val="000C1739"/>
    <w:rsid w:val="000C2E19"/>
    <w:rsid w:val="000C64F8"/>
    <w:rsid w:val="000D0D07"/>
    <w:rsid w:val="000D4797"/>
    <w:rsid w:val="000D772C"/>
    <w:rsid w:val="000E0527"/>
    <w:rsid w:val="000E1E92"/>
    <w:rsid w:val="000F06D6"/>
    <w:rsid w:val="000F0EB1"/>
    <w:rsid w:val="000F1106"/>
    <w:rsid w:val="000F3BE9"/>
    <w:rsid w:val="000F3F6C"/>
    <w:rsid w:val="000F6DF3"/>
    <w:rsid w:val="001005FF"/>
    <w:rsid w:val="0010439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C8E"/>
    <w:rsid w:val="00146AC6"/>
    <w:rsid w:val="00151E23"/>
    <w:rsid w:val="001521A7"/>
    <w:rsid w:val="001526E0"/>
    <w:rsid w:val="001551B5"/>
    <w:rsid w:val="001618B4"/>
    <w:rsid w:val="00163FFB"/>
    <w:rsid w:val="0016512B"/>
    <w:rsid w:val="001659C1"/>
    <w:rsid w:val="00173A8E"/>
    <w:rsid w:val="00177795"/>
    <w:rsid w:val="0018143F"/>
    <w:rsid w:val="00190AC1"/>
    <w:rsid w:val="0019341A"/>
    <w:rsid w:val="00197DF9"/>
    <w:rsid w:val="001A1987"/>
    <w:rsid w:val="001A2564"/>
    <w:rsid w:val="001A2C95"/>
    <w:rsid w:val="001A6173"/>
    <w:rsid w:val="001A6CBA"/>
    <w:rsid w:val="001B0D97"/>
    <w:rsid w:val="001B5A5D"/>
    <w:rsid w:val="001C1CE5"/>
    <w:rsid w:val="001C1E8D"/>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DE5"/>
    <w:rsid w:val="002458EB"/>
    <w:rsid w:val="002500C8"/>
    <w:rsid w:val="00257543"/>
    <w:rsid w:val="002617E7"/>
    <w:rsid w:val="0026259F"/>
    <w:rsid w:val="00264228"/>
    <w:rsid w:val="00264334"/>
    <w:rsid w:val="0026473E"/>
    <w:rsid w:val="00266214"/>
    <w:rsid w:val="00267C83"/>
    <w:rsid w:val="0027144F"/>
    <w:rsid w:val="00271F3A"/>
    <w:rsid w:val="00273278"/>
    <w:rsid w:val="002737F4"/>
    <w:rsid w:val="002805F5"/>
    <w:rsid w:val="00280751"/>
    <w:rsid w:val="00281DD8"/>
    <w:rsid w:val="0028280A"/>
    <w:rsid w:val="00286ACD"/>
    <w:rsid w:val="00287838"/>
    <w:rsid w:val="002907B5"/>
    <w:rsid w:val="00292EB7"/>
    <w:rsid w:val="00293306"/>
    <w:rsid w:val="002960DF"/>
    <w:rsid w:val="00296227"/>
    <w:rsid w:val="00296F44"/>
    <w:rsid w:val="0029777D"/>
    <w:rsid w:val="002A055E"/>
    <w:rsid w:val="002A1D4E"/>
    <w:rsid w:val="002A2869"/>
    <w:rsid w:val="002B24D6"/>
    <w:rsid w:val="002C41E6"/>
    <w:rsid w:val="002C7A63"/>
    <w:rsid w:val="002D071A"/>
    <w:rsid w:val="002D16A1"/>
    <w:rsid w:val="002D34B2"/>
    <w:rsid w:val="002D7637"/>
    <w:rsid w:val="002E17F2"/>
    <w:rsid w:val="002E7CAE"/>
    <w:rsid w:val="002F2771"/>
    <w:rsid w:val="002F37A9"/>
    <w:rsid w:val="00301CE6"/>
    <w:rsid w:val="0030256B"/>
    <w:rsid w:val="0030501F"/>
    <w:rsid w:val="00307BA1"/>
    <w:rsid w:val="00310D9E"/>
    <w:rsid w:val="00311702"/>
    <w:rsid w:val="00311E82"/>
    <w:rsid w:val="0031391A"/>
    <w:rsid w:val="00313FD6"/>
    <w:rsid w:val="003143BD"/>
    <w:rsid w:val="003203ED"/>
    <w:rsid w:val="00322C9F"/>
    <w:rsid w:val="00324D23"/>
    <w:rsid w:val="00326A84"/>
    <w:rsid w:val="00331751"/>
    <w:rsid w:val="00334579"/>
    <w:rsid w:val="00335858"/>
    <w:rsid w:val="00336BDA"/>
    <w:rsid w:val="00336ED5"/>
    <w:rsid w:val="00342BD7"/>
    <w:rsid w:val="00343A07"/>
    <w:rsid w:val="00346DB5"/>
    <w:rsid w:val="003477B1"/>
    <w:rsid w:val="003505C1"/>
    <w:rsid w:val="00357380"/>
    <w:rsid w:val="003602D9"/>
    <w:rsid w:val="003604CE"/>
    <w:rsid w:val="00370E47"/>
    <w:rsid w:val="00371C16"/>
    <w:rsid w:val="003742AC"/>
    <w:rsid w:val="00375AF8"/>
    <w:rsid w:val="00377CE1"/>
    <w:rsid w:val="00385BF0"/>
    <w:rsid w:val="003939FF"/>
    <w:rsid w:val="00393B26"/>
    <w:rsid w:val="003A2223"/>
    <w:rsid w:val="003A2A0F"/>
    <w:rsid w:val="003A45A1"/>
    <w:rsid w:val="003A5B0A"/>
    <w:rsid w:val="003A6BAC"/>
    <w:rsid w:val="003A7EF3"/>
    <w:rsid w:val="003B159C"/>
    <w:rsid w:val="003B2FD9"/>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885"/>
    <w:rsid w:val="00402E2B"/>
    <w:rsid w:val="0040512B"/>
    <w:rsid w:val="00405CA5"/>
    <w:rsid w:val="00407CD3"/>
    <w:rsid w:val="00410134"/>
    <w:rsid w:val="00410B72"/>
    <w:rsid w:val="00410F18"/>
    <w:rsid w:val="0041263E"/>
    <w:rsid w:val="00413AAC"/>
    <w:rsid w:val="00421105"/>
    <w:rsid w:val="004242F4"/>
    <w:rsid w:val="00427248"/>
    <w:rsid w:val="004328EE"/>
    <w:rsid w:val="00433BFF"/>
    <w:rsid w:val="00437447"/>
    <w:rsid w:val="00441A92"/>
    <w:rsid w:val="004420BB"/>
    <w:rsid w:val="00444F56"/>
    <w:rsid w:val="00446488"/>
    <w:rsid w:val="004517AA"/>
    <w:rsid w:val="00452CAC"/>
    <w:rsid w:val="00457565"/>
    <w:rsid w:val="00457B71"/>
    <w:rsid w:val="004669E2"/>
    <w:rsid w:val="00470C31"/>
    <w:rsid w:val="004734D0"/>
    <w:rsid w:val="0047556B"/>
    <w:rsid w:val="00477768"/>
    <w:rsid w:val="00492134"/>
    <w:rsid w:val="00492BC5"/>
    <w:rsid w:val="004959AD"/>
    <w:rsid w:val="004964F1"/>
    <w:rsid w:val="004A16BC"/>
    <w:rsid w:val="004A2B94"/>
    <w:rsid w:val="004B7AE1"/>
    <w:rsid w:val="004B7C0C"/>
    <w:rsid w:val="004C3898"/>
    <w:rsid w:val="004C7C52"/>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8C"/>
    <w:rsid w:val="00534B59"/>
    <w:rsid w:val="00536759"/>
    <w:rsid w:val="00537C62"/>
    <w:rsid w:val="00546970"/>
    <w:rsid w:val="00547F4D"/>
    <w:rsid w:val="00550419"/>
    <w:rsid w:val="00554E19"/>
    <w:rsid w:val="00560268"/>
    <w:rsid w:val="0056121F"/>
    <w:rsid w:val="00562DB1"/>
    <w:rsid w:val="005668F6"/>
    <w:rsid w:val="00572505"/>
    <w:rsid w:val="00582809"/>
    <w:rsid w:val="00585FFD"/>
    <w:rsid w:val="0058798C"/>
    <w:rsid w:val="005900FA"/>
    <w:rsid w:val="005935A4"/>
    <w:rsid w:val="005948C2"/>
    <w:rsid w:val="00595DCA"/>
    <w:rsid w:val="0059779B"/>
    <w:rsid w:val="005A0519"/>
    <w:rsid w:val="005A209A"/>
    <w:rsid w:val="005A662D"/>
    <w:rsid w:val="005B2AEB"/>
    <w:rsid w:val="005B35D7"/>
    <w:rsid w:val="005B392A"/>
    <w:rsid w:val="005B3AA3"/>
    <w:rsid w:val="005B6F83"/>
    <w:rsid w:val="005C25AF"/>
    <w:rsid w:val="005C33B0"/>
    <w:rsid w:val="005C74FB"/>
    <w:rsid w:val="005D1602"/>
    <w:rsid w:val="005D2064"/>
    <w:rsid w:val="005D391A"/>
    <w:rsid w:val="005D6338"/>
    <w:rsid w:val="005E0556"/>
    <w:rsid w:val="005E385F"/>
    <w:rsid w:val="005E5B81"/>
    <w:rsid w:val="005F2CB1"/>
    <w:rsid w:val="005F3025"/>
    <w:rsid w:val="005F618C"/>
    <w:rsid w:val="005F6713"/>
    <w:rsid w:val="005F70BD"/>
    <w:rsid w:val="005F78A5"/>
    <w:rsid w:val="0060283C"/>
    <w:rsid w:val="00604F14"/>
    <w:rsid w:val="00611B83"/>
    <w:rsid w:val="00613257"/>
    <w:rsid w:val="00613583"/>
    <w:rsid w:val="00620A71"/>
    <w:rsid w:val="00620D80"/>
    <w:rsid w:val="006212A9"/>
    <w:rsid w:val="006234A6"/>
    <w:rsid w:val="00625B29"/>
    <w:rsid w:val="00630001"/>
    <w:rsid w:val="006311B3"/>
    <w:rsid w:val="0063218F"/>
    <w:rsid w:val="0063284C"/>
    <w:rsid w:val="00636398"/>
    <w:rsid w:val="006368D3"/>
    <w:rsid w:val="006377EC"/>
    <w:rsid w:val="0064151F"/>
    <w:rsid w:val="00641533"/>
    <w:rsid w:val="0064208D"/>
    <w:rsid w:val="00642301"/>
    <w:rsid w:val="00643475"/>
    <w:rsid w:val="0064396A"/>
    <w:rsid w:val="0064624E"/>
    <w:rsid w:val="00650AB9"/>
    <w:rsid w:val="00655733"/>
    <w:rsid w:val="00655ACD"/>
    <w:rsid w:val="00656A92"/>
    <w:rsid w:val="00656DDE"/>
    <w:rsid w:val="0066011D"/>
    <w:rsid w:val="006607C0"/>
    <w:rsid w:val="006613A6"/>
    <w:rsid w:val="006625B3"/>
    <w:rsid w:val="006627A2"/>
    <w:rsid w:val="006634E6"/>
    <w:rsid w:val="0066393D"/>
    <w:rsid w:val="006655EE"/>
    <w:rsid w:val="00665844"/>
    <w:rsid w:val="00667EE7"/>
    <w:rsid w:val="00670922"/>
    <w:rsid w:val="00670ADC"/>
    <w:rsid w:val="00670BE1"/>
    <w:rsid w:val="0067218F"/>
    <w:rsid w:val="00672D2D"/>
    <w:rsid w:val="006741F2"/>
    <w:rsid w:val="00674C35"/>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E00"/>
    <w:rsid w:val="006C2502"/>
    <w:rsid w:val="006C5EC9"/>
    <w:rsid w:val="006C6059"/>
    <w:rsid w:val="006C7522"/>
    <w:rsid w:val="006D2D96"/>
    <w:rsid w:val="006D6F08"/>
    <w:rsid w:val="006E062C"/>
    <w:rsid w:val="006E21FF"/>
    <w:rsid w:val="006E28B7"/>
    <w:rsid w:val="006E3310"/>
    <w:rsid w:val="006E4E39"/>
    <w:rsid w:val="006E565E"/>
    <w:rsid w:val="006E673D"/>
    <w:rsid w:val="006E7D3B"/>
    <w:rsid w:val="006F1B70"/>
    <w:rsid w:val="006F341D"/>
    <w:rsid w:val="006F3CDE"/>
    <w:rsid w:val="006F55D3"/>
    <w:rsid w:val="006F58D4"/>
    <w:rsid w:val="0070346E"/>
    <w:rsid w:val="007047C8"/>
    <w:rsid w:val="00704EDB"/>
    <w:rsid w:val="00706101"/>
    <w:rsid w:val="00707072"/>
    <w:rsid w:val="00707D61"/>
    <w:rsid w:val="00712287"/>
    <w:rsid w:val="00712772"/>
    <w:rsid w:val="007148D3"/>
    <w:rsid w:val="00715B9A"/>
    <w:rsid w:val="00723152"/>
    <w:rsid w:val="00726EA6"/>
    <w:rsid w:val="00727208"/>
    <w:rsid w:val="00727680"/>
    <w:rsid w:val="00732461"/>
    <w:rsid w:val="0073303B"/>
    <w:rsid w:val="007348B1"/>
    <w:rsid w:val="007362A6"/>
    <w:rsid w:val="00736D7D"/>
    <w:rsid w:val="00740E58"/>
    <w:rsid w:val="007426A2"/>
    <w:rsid w:val="007445A0"/>
    <w:rsid w:val="0074524B"/>
    <w:rsid w:val="00747D8B"/>
    <w:rsid w:val="00751228"/>
    <w:rsid w:val="007571E1"/>
    <w:rsid w:val="007604B2"/>
    <w:rsid w:val="00765281"/>
    <w:rsid w:val="00766BAD"/>
    <w:rsid w:val="007730BD"/>
    <w:rsid w:val="00774C09"/>
    <w:rsid w:val="007755F2"/>
    <w:rsid w:val="00776971"/>
    <w:rsid w:val="0078177E"/>
    <w:rsid w:val="0078304C"/>
    <w:rsid w:val="00783673"/>
    <w:rsid w:val="00785490"/>
    <w:rsid w:val="007925EA"/>
    <w:rsid w:val="00793CD8"/>
    <w:rsid w:val="00795C92"/>
    <w:rsid w:val="00796231"/>
    <w:rsid w:val="007A1CB3"/>
    <w:rsid w:val="007A1DA0"/>
    <w:rsid w:val="007A306F"/>
    <w:rsid w:val="007A43A6"/>
    <w:rsid w:val="007A58A6"/>
    <w:rsid w:val="007A637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EE0"/>
    <w:rsid w:val="007E7091"/>
    <w:rsid w:val="00803FAE"/>
    <w:rsid w:val="0080605F"/>
    <w:rsid w:val="00807786"/>
    <w:rsid w:val="008079F0"/>
    <w:rsid w:val="00811FCB"/>
    <w:rsid w:val="00813251"/>
    <w:rsid w:val="0081336F"/>
    <w:rsid w:val="008158D6"/>
    <w:rsid w:val="00817196"/>
    <w:rsid w:val="008235DB"/>
    <w:rsid w:val="00824AB4"/>
    <w:rsid w:val="00825C42"/>
    <w:rsid w:val="00825D25"/>
    <w:rsid w:val="00827D6F"/>
    <w:rsid w:val="0083228D"/>
    <w:rsid w:val="00835A54"/>
    <w:rsid w:val="008376AC"/>
    <w:rsid w:val="008444E8"/>
    <w:rsid w:val="00844E80"/>
    <w:rsid w:val="00846E06"/>
    <w:rsid w:val="00846FE7"/>
    <w:rsid w:val="00847D6D"/>
    <w:rsid w:val="008528EF"/>
    <w:rsid w:val="00856911"/>
    <w:rsid w:val="00865056"/>
    <w:rsid w:val="008677FD"/>
    <w:rsid w:val="008706D4"/>
    <w:rsid w:val="00870F8A"/>
    <w:rsid w:val="008719A4"/>
    <w:rsid w:val="00871D23"/>
    <w:rsid w:val="00874312"/>
    <w:rsid w:val="0087437C"/>
    <w:rsid w:val="00875CD7"/>
    <w:rsid w:val="00876B4D"/>
    <w:rsid w:val="00877F18"/>
    <w:rsid w:val="00894A88"/>
    <w:rsid w:val="00895386"/>
    <w:rsid w:val="0089779A"/>
    <w:rsid w:val="008A1AD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609"/>
    <w:rsid w:val="008E1909"/>
    <w:rsid w:val="008F1EAB"/>
    <w:rsid w:val="008F33DC"/>
    <w:rsid w:val="008F477F"/>
    <w:rsid w:val="00902350"/>
    <w:rsid w:val="009031A8"/>
    <w:rsid w:val="0090336B"/>
    <w:rsid w:val="0090398A"/>
    <w:rsid w:val="009053AA"/>
    <w:rsid w:val="00906939"/>
    <w:rsid w:val="00910B7D"/>
    <w:rsid w:val="00911DFB"/>
    <w:rsid w:val="009139D9"/>
    <w:rsid w:val="00914AD8"/>
    <w:rsid w:val="00914F85"/>
    <w:rsid w:val="00916079"/>
    <w:rsid w:val="009165BF"/>
    <w:rsid w:val="00917CE9"/>
    <w:rsid w:val="00920BF2"/>
    <w:rsid w:val="00922010"/>
    <w:rsid w:val="009224C8"/>
    <w:rsid w:val="00922EAA"/>
    <w:rsid w:val="00931BD9"/>
    <w:rsid w:val="009368F3"/>
    <w:rsid w:val="00941636"/>
    <w:rsid w:val="00943742"/>
    <w:rsid w:val="00945C05"/>
    <w:rsid w:val="00946105"/>
    <w:rsid w:val="00946204"/>
    <w:rsid w:val="00946945"/>
    <w:rsid w:val="00947713"/>
    <w:rsid w:val="00950DE7"/>
    <w:rsid w:val="00953920"/>
    <w:rsid w:val="00953D47"/>
    <w:rsid w:val="00954807"/>
    <w:rsid w:val="0095681E"/>
    <w:rsid w:val="009572D4"/>
    <w:rsid w:val="00961921"/>
    <w:rsid w:val="0096430A"/>
    <w:rsid w:val="0096554B"/>
    <w:rsid w:val="0096584A"/>
    <w:rsid w:val="00965A74"/>
    <w:rsid w:val="00971F08"/>
    <w:rsid w:val="00973F5F"/>
    <w:rsid w:val="0097603D"/>
    <w:rsid w:val="00976949"/>
    <w:rsid w:val="00980477"/>
    <w:rsid w:val="0098277B"/>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4ED"/>
    <w:rsid w:val="009E47A3"/>
    <w:rsid w:val="009F08F3"/>
    <w:rsid w:val="009F344F"/>
    <w:rsid w:val="00A048A8"/>
    <w:rsid w:val="00A04F49"/>
    <w:rsid w:val="00A13E54"/>
    <w:rsid w:val="00A177D6"/>
    <w:rsid w:val="00A17F63"/>
    <w:rsid w:val="00A2193B"/>
    <w:rsid w:val="00A2351A"/>
    <w:rsid w:val="00A264A9"/>
    <w:rsid w:val="00A27785"/>
    <w:rsid w:val="00A30187"/>
    <w:rsid w:val="00A3448A"/>
    <w:rsid w:val="00A352F6"/>
    <w:rsid w:val="00A36297"/>
    <w:rsid w:val="00A41E2B"/>
    <w:rsid w:val="00A4490F"/>
    <w:rsid w:val="00A457DC"/>
    <w:rsid w:val="00A45B74"/>
    <w:rsid w:val="00A52E1D"/>
    <w:rsid w:val="00A61499"/>
    <w:rsid w:val="00A62A77"/>
    <w:rsid w:val="00A62FAE"/>
    <w:rsid w:val="00A63483"/>
    <w:rsid w:val="00A657D7"/>
    <w:rsid w:val="00A660AC"/>
    <w:rsid w:val="00A67E6C"/>
    <w:rsid w:val="00A71B99"/>
    <w:rsid w:val="00A739D0"/>
    <w:rsid w:val="00A761D4"/>
    <w:rsid w:val="00A77EC4"/>
    <w:rsid w:val="00A92879"/>
    <w:rsid w:val="00A9442A"/>
    <w:rsid w:val="00A95CED"/>
    <w:rsid w:val="00AA016F"/>
    <w:rsid w:val="00AA1ED6"/>
    <w:rsid w:val="00AA51D6"/>
    <w:rsid w:val="00AB0BC8"/>
    <w:rsid w:val="00AB11CA"/>
    <w:rsid w:val="00AB14D9"/>
    <w:rsid w:val="00AB4AB8"/>
    <w:rsid w:val="00AB655E"/>
    <w:rsid w:val="00AB7B04"/>
    <w:rsid w:val="00AC007F"/>
    <w:rsid w:val="00AC2ECD"/>
    <w:rsid w:val="00AC3119"/>
    <w:rsid w:val="00AC3E64"/>
    <w:rsid w:val="00AC49FB"/>
    <w:rsid w:val="00AC5A10"/>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6B14"/>
    <w:rsid w:val="00B157F9"/>
    <w:rsid w:val="00B15E7F"/>
    <w:rsid w:val="00B20256"/>
    <w:rsid w:val="00B20D09"/>
    <w:rsid w:val="00B24517"/>
    <w:rsid w:val="00B2763F"/>
    <w:rsid w:val="00B27AAC"/>
    <w:rsid w:val="00B304F3"/>
    <w:rsid w:val="00B30929"/>
    <w:rsid w:val="00B372AA"/>
    <w:rsid w:val="00B40445"/>
    <w:rsid w:val="00B40BEF"/>
    <w:rsid w:val="00B41888"/>
    <w:rsid w:val="00B43A14"/>
    <w:rsid w:val="00B45A52"/>
    <w:rsid w:val="00B46175"/>
    <w:rsid w:val="00B6188F"/>
    <w:rsid w:val="00B664C7"/>
    <w:rsid w:val="00B739F6"/>
    <w:rsid w:val="00B81A6C"/>
    <w:rsid w:val="00B85DE5"/>
    <w:rsid w:val="00B90F73"/>
    <w:rsid w:val="00B93B59"/>
    <w:rsid w:val="00B9406A"/>
    <w:rsid w:val="00B94894"/>
    <w:rsid w:val="00B96353"/>
    <w:rsid w:val="00B975DC"/>
    <w:rsid w:val="00B97752"/>
    <w:rsid w:val="00BA2280"/>
    <w:rsid w:val="00BA2A08"/>
    <w:rsid w:val="00BA56D2"/>
    <w:rsid w:val="00BA76E0"/>
    <w:rsid w:val="00BB2A25"/>
    <w:rsid w:val="00BB4ED8"/>
    <w:rsid w:val="00BB51E9"/>
    <w:rsid w:val="00BC0FDC"/>
    <w:rsid w:val="00BC2BE5"/>
    <w:rsid w:val="00BC3053"/>
    <w:rsid w:val="00BC4D2E"/>
    <w:rsid w:val="00BD48AC"/>
    <w:rsid w:val="00BD5F1A"/>
    <w:rsid w:val="00BE1234"/>
    <w:rsid w:val="00BE2FA6"/>
    <w:rsid w:val="00BE333F"/>
    <w:rsid w:val="00BE334D"/>
    <w:rsid w:val="00BE7406"/>
    <w:rsid w:val="00BE7603"/>
    <w:rsid w:val="00BF02CE"/>
    <w:rsid w:val="00BF2B5C"/>
    <w:rsid w:val="00BF3279"/>
    <w:rsid w:val="00BF74C7"/>
    <w:rsid w:val="00C015F1"/>
    <w:rsid w:val="00C01F33"/>
    <w:rsid w:val="00C02CC6"/>
    <w:rsid w:val="00C040F7"/>
    <w:rsid w:val="00C041B0"/>
    <w:rsid w:val="00C044AB"/>
    <w:rsid w:val="00C04BB5"/>
    <w:rsid w:val="00C05706"/>
    <w:rsid w:val="00C07377"/>
    <w:rsid w:val="00C10478"/>
    <w:rsid w:val="00C12107"/>
    <w:rsid w:val="00C14D4B"/>
    <w:rsid w:val="00C154BB"/>
    <w:rsid w:val="00C25FD0"/>
    <w:rsid w:val="00C279B5"/>
    <w:rsid w:val="00C27C45"/>
    <w:rsid w:val="00C3719D"/>
    <w:rsid w:val="00C47C84"/>
    <w:rsid w:val="00C54995"/>
    <w:rsid w:val="00C54D41"/>
    <w:rsid w:val="00C556B0"/>
    <w:rsid w:val="00C60783"/>
    <w:rsid w:val="00C6304C"/>
    <w:rsid w:val="00C64672"/>
    <w:rsid w:val="00C70697"/>
    <w:rsid w:val="00C72EF4"/>
    <w:rsid w:val="00C75D2F"/>
    <w:rsid w:val="00C767BE"/>
    <w:rsid w:val="00C76E3C"/>
    <w:rsid w:val="00C81568"/>
    <w:rsid w:val="00C9027A"/>
    <w:rsid w:val="00C9068E"/>
    <w:rsid w:val="00C93C4B"/>
    <w:rsid w:val="00C944AB"/>
    <w:rsid w:val="00C95B40"/>
    <w:rsid w:val="00CA1ED8"/>
    <w:rsid w:val="00CA5525"/>
    <w:rsid w:val="00CA59FD"/>
    <w:rsid w:val="00CB1F63"/>
    <w:rsid w:val="00CB4A59"/>
    <w:rsid w:val="00CB7170"/>
    <w:rsid w:val="00CC040E"/>
    <w:rsid w:val="00CC111F"/>
    <w:rsid w:val="00CC2011"/>
    <w:rsid w:val="00CC3EA0"/>
    <w:rsid w:val="00CC7B45"/>
    <w:rsid w:val="00CD1188"/>
    <w:rsid w:val="00CD2ED1"/>
    <w:rsid w:val="00CD337B"/>
    <w:rsid w:val="00CE0424"/>
    <w:rsid w:val="00CE2CC9"/>
    <w:rsid w:val="00CE7561"/>
    <w:rsid w:val="00CF1354"/>
    <w:rsid w:val="00CF39B0"/>
    <w:rsid w:val="00CF3B1F"/>
    <w:rsid w:val="00CF3BF6"/>
    <w:rsid w:val="00CF625B"/>
    <w:rsid w:val="00CF687E"/>
    <w:rsid w:val="00D02A3E"/>
    <w:rsid w:val="00D0349B"/>
    <w:rsid w:val="00D05E04"/>
    <w:rsid w:val="00D10249"/>
    <w:rsid w:val="00D115C3"/>
    <w:rsid w:val="00D11897"/>
    <w:rsid w:val="00D13135"/>
    <w:rsid w:val="00D13E4E"/>
    <w:rsid w:val="00D20819"/>
    <w:rsid w:val="00D239A7"/>
    <w:rsid w:val="00D23F47"/>
    <w:rsid w:val="00D36E71"/>
    <w:rsid w:val="00D374D3"/>
    <w:rsid w:val="00D37D87"/>
    <w:rsid w:val="00D40B33"/>
    <w:rsid w:val="00D40E2E"/>
    <w:rsid w:val="00D4318F"/>
    <w:rsid w:val="00D438BF"/>
    <w:rsid w:val="00D440F8"/>
    <w:rsid w:val="00D50F97"/>
    <w:rsid w:val="00D51974"/>
    <w:rsid w:val="00D546FF"/>
    <w:rsid w:val="00D55AD5"/>
    <w:rsid w:val="00D56C00"/>
    <w:rsid w:val="00D576CA"/>
    <w:rsid w:val="00D61AF5"/>
    <w:rsid w:val="00D652B5"/>
    <w:rsid w:val="00D66155"/>
    <w:rsid w:val="00D708B0"/>
    <w:rsid w:val="00D715C5"/>
    <w:rsid w:val="00D75F91"/>
    <w:rsid w:val="00D77B1D"/>
    <w:rsid w:val="00D8021F"/>
    <w:rsid w:val="00D80383"/>
    <w:rsid w:val="00D823C6"/>
    <w:rsid w:val="00D86CA3"/>
    <w:rsid w:val="00D871CE"/>
    <w:rsid w:val="00D9196D"/>
    <w:rsid w:val="00D92982"/>
    <w:rsid w:val="00DA305E"/>
    <w:rsid w:val="00DA5417"/>
    <w:rsid w:val="00DA56E8"/>
    <w:rsid w:val="00DB0A9F"/>
    <w:rsid w:val="00DB291C"/>
    <w:rsid w:val="00DB377D"/>
    <w:rsid w:val="00DC0B9B"/>
    <w:rsid w:val="00DC2D36"/>
    <w:rsid w:val="00DC4771"/>
    <w:rsid w:val="00DC53EF"/>
    <w:rsid w:val="00DE5608"/>
    <w:rsid w:val="00DE58D0"/>
    <w:rsid w:val="00DE654F"/>
    <w:rsid w:val="00DF0B6E"/>
    <w:rsid w:val="00DF15E0"/>
    <w:rsid w:val="00DF28CF"/>
    <w:rsid w:val="00DF37A0"/>
    <w:rsid w:val="00DF71A0"/>
    <w:rsid w:val="00E03438"/>
    <w:rsid w:val="00E110E7"/>
    <w:rsid w:val="00E11B20"/>
    <w:rsid w:val="00E12A51"/>
    <w:rsid w:val="00E17FA2"/>
    <w:rsid w:val="00E22330"/>
    <w:rsid w:val="00E252CE"/>
    <w:rsid w:val="00E30B5A"/>
    <w:rsid w:val="00E3123D"/>
    <w:rsid w:val="00E31461"/>
    <w:rsid w:val="00E31D43"/>
    <w:rsid w:val="00E32608"/>
    <w:rsid w:val="00E34188"/>
    <w:rsid w:val="00E34B6E"/>
    <w:rsid w:val="00E35559"/>
    <w:rsid w:val="00E3723A"/>
    <w:rsid w:val="00E37860"/>
    <w:rsid w:val="00E446F1"/>
    <w:rsid w:val="00E45A1E"/>
    <w:rsid w:val="00E46886"/>
    <w:rsid w:val="00E47AEF"/>
    <w:rsid w:val="00E53B75"/>
    <w:rsid w:val="00E54E3B"/>
    <w:rsid w:val="00E57565"/>
    <w:rsid w:val="00E63838"/>
    <w:rsid w:val="00E64434"/>
    <w:rsid w:val="00E660D3"/>
    <w:rsid w:val="00E67C51"/>
    <w:rsid w:val="00E72EFC"/>
    <w:rsid w:val="00E758EC"/>
    <w:rsid w:val="00E8234C"/>
    <w:rsid w:val="00E83AA9"/>
    <w:rsid w:val="00E84EE2"/>
    <w:rsid w:val="00E852D1"/>
    <w:rsid w:val="00E85928"/>
    <w:rsid w:val="00E87822"/>
    <w:rsid w:val="00E90395"/>
    <w:rsid w:val="00E90E49"/>
    <w:rsid w:val="00E917F9"/>
    <w:rsid w:val="00E9291C"/>
    <w:rsid w:val="00E932C0"/>
    <w:rsid w:val="00E93FFE"/>
    <w:rsid w:val="00E94F8A"/>
    <w:rsid w:val="00EA3BD0"/>
    <w:rsid w:val="00EA7A41"/>
    <w:rsid w:val="00EB077B"/>
    <w:rsid w:val="00EB4EA2"/>
    <w:rsid w:val="00EB73A9"/>
    <w:rsid w:val="00EC27C6"/>
    <w:rsid w:val="00EC4207"/>
    <w:rsid w:val="00EC5653"/>
    <w:rsid w:val="00EC71CE"/>
    <w:rsid w:val="00ED1006"/>
    <w:rsid w:val="00EF18FE"/>
    <w:rsid w:val="00EF2022"/>
    <w:rsid w:val="00EF5787"/>
    <w:rsid w:val="00EF60D0"/>
    <w:rsid w:val="00F0528D"/>
    <w:rsid w:val="00F0639B"/>
    <w:rsid w:val="00F06C67"/>
    <w:rsid w:val="00F06DFD"/>
    <w:rsid w:val="00F071D1"/>
    <w:rsid w:val="00F07533"/>
    <w:rsid w:val="00F10629"/>
    <w:rsid w:val="00F154BD"/>
    <w:rsid w:val="00F15FA5"/>
    <w:rsid w:val="00F209B7"/>
    <w:rsid w:val="00F2376F"/>
    <w:rsid w:val="00F243D8"/>
    <w:rsid w:val="00F26787"/>
    <w:rsid w:val="00F30828"/>
    <w:rsid w:val="00F313D6"/>
    <w:rsid w:val="00F36D85"/>
    <w:rsid w:val="00F40F0C"/>
    <w:rsid w:val="00F4766C"/>
    <w:rsid w:val="00F507D1"/>
    <w:rsid w:val="00F519CE"/>
    <w:rsid w:val="00F51ADA"/>
    <w:rsid w:val="00F607C5"/>
    <w:rsid w:val="00F60DEA"/>
    <w:rsid w:val="00F6302A"/>
    <w:rsid w:val="00F64C2B"/>
    <w:rsid w:val="00F651BE"/>
    <w:rsid w:val="00F67F53"/>
    <w:rsid w:val="00F703BE"/>
    <w:rsid w:val="00F71F69"/>
    <w:rsid w:val="00F71F95"/>
    <w:rsid w:val="00F72B72"/>
    <w:rsid w:val="00F74BB9"/>
    <w:rsid w:val="00F75582"/>
    <w:rsid w:val="00F76EFA"/>
    <w:rsid w:val="00F7757E"/>
    <w:rsid w:val="00F804BE"/>
    <w:rsid w:val="00F817CE"/>
    <w:rsid w:val="00F8456C"/>
    <w:rsid w:val="00F85756"/>
    <w:rsid w:val="00F859D8"/>
    <w:rsid w:val="00F868F5"/>
    <w:rsid w:val="00F9056A"/>
    <w:rsid w:val="00F90F8D"/>
    <w:rsid w:val="00F92782"/>
    <w:rsid w:val="00F93AA9"/>
    <w:rsid w:val="00F9651D"/>
    <w:rsid w:val="00F96985"/>
    <w:rsid w:val="00F97838"/>
    <w:rsid w:val="00FA10C5"/>
    <w:rsid w:val="00FA1358"/>
    <w:rsid w:val="00FA2BB3"/>
    <w:rsid w:val="00FB4C80"/>
    <w:rsid w:val="00FB6A6A"/>
    <w:rsid w:val="00FC7429"/>
    <w:rsid w:val="00FD07F6"/>
    <w:rsid w:val="00FD1EC8"/>
    <w:rsid w:val="00FD47ED"/>
    <w:rsid w:val="00FD74DB"/>
    <w:rsid w:val="00FD7660"/>
    <w:rsid w:val="00FE0655"/>
    <w:rsid w:val="00FE2365"/>
    <w:rsid w:val="00FE2996"/>
    <w:rsid w:val="00FE4C7B"/>
    <w:rsid w:val="00FE695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46"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772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D77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72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references">
    <w:name w:val="references"/>
    <w:rsid w:val="00723152"/>
    <w:pPr>
      <w:numPr>
        <w:numId w:val="10"/>
      </w:numPr>
      <w:spacing w:after="50" w:line="180" w:lineRule="exact"/>
      <w:jc w:val="both"/>
    </w:pPr>
    <w:rPr>
      <w:rFonts w:ascii="Times New Roman" w:eastAsia="MS Mincho" w:hAnsi="Times New Roman"/>
      <w:noProof/>
      <w:sz w:val="16"/>
      <w:szCs w:val="16"/>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585FFD"/>
    <w:rPr>
      <w:rFonts w:ascii="Arial" w:hAnsi="Arial"/>
      <w:b/>
      <w:bCs/>
      <w:lang w:val="en-GB" w:eastAsia="zh-CN"/>
    </w:rPr>
  </w:style>
  <w:style w:type="table" w:styleId="GridTable1Light">
    <w:name w:val="Grid Table 1 Light"/>
    <w:basedOn w:val="TableNormal"/>
    <w:uiPriority w:val="46"/>
    <w:rsid w:val="00585FFD"/>
    <w:rPr>
      <w:rFonts w:ascii="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docHeader2">
    <w:name w:val="Tdoc_Header_2"/>
    <w:basedOn w:val="Normal"/>
    <w:rsid w:val="00BB4ED8"/>
    <w:pPr>
      <w:widowControl w:val="0"/>
      <w:tabs>
        <w:tab w:val="left" w:pos="1701"/>
        <w:tab w:val="right" w:pos="9072"/>
        <w:tab w:val="right" w:pos="10206"/>
      </w:tabs>
      <w:spacing w:after="0"/>
    </w:pPr>
    <w:rPr>
      <w:rFonts w:eastAsia="Batang"/>
      <w:b/>
      <w:sz w:val="18"/>
    </w:rPr>
  </w:style>
  <w:style w:type="paragraph" w:styleId="NormalWeb">
    <w:name w:val="Normal (Web)"/>
    <w:basedOn w:val="Normal"/>
    <w:uiPriority w:val="99"/>
    <w:unhideWhenUsed/>
    <w:rsid w:val="00140C8E"/>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table" w:customStyle="1" w:styleId="TableGrid1">
    <w:name w:val="Table Grid1"/>
    <w:basedOn w:val="TableNormal"/>
    <w:next w:val="TableGrid"/>
    <w:uiPriority w:val="39"/>
    <w:rsid w:val="00E932C0"/>
    <w:rPr>
      <w:rFonts w:ascii="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93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58677">
      <w:bodyDiv w:val="1"/>
      <w:marLeft w:val="0"/>
      <w:marRight w:val="0"/>
      <w:marTop w:val="0"/>
      <w:marBottom w:val="0"/>
      <w:divBdr>
        <w:top w:val="none" w:sz="0" w:space="0" w:color="auto"/>
        <w:left w:val="none" w:sz="0" w:space="0" w:color="auto"/>
        <w:bottom w:val="none" w:sz="0" w:space="0" w:color="auto"/>
        <w:right w:val="none" w:sz="0" w:space="0" w:color="auto"/>
      </w:divBdr>
    </w:div>
    <w:div w:id="277689115">
      <w:bodyDiv w:val="1"/>
      <w:marLeft w:val="0"/>
      <w:marRight w:val="0"/>
      <w:marTop w:val="0"/>
      <w:marBottom w:val="0"/>
      <w:divBdr>
        <w:top w:val="none" w:sz="0" w:space="0" w:color="auto"/>
        <w:left w:val="none" w:sz="0" w:space="0" w:color="auto"/>
        <w:bottom w:val="none" w:sz="0" w:space="0" w:color="auto"/>
        <w:right w:val="none" w:sz="0" w:space="0" w:color="auto"/>
      </w:divBdr>
    </w:div>
    <w:div w:id="345400466">
      <w:bodyDiv w:val="1"/>
      <w:marLeft w:val="0"/>
      <w:marRight w:val="0"/>
      <w:marTop w:val="0"/>
      <w:marBottom w:val="0"/>
      <w:divBdr>
        <w:top w:val="none" w:sz="0" w:space="0" w:color="auto"/>
        <w:left w:val="none" w:sz="0" w:space="0" w:color="auto"/>
        <w:bottom w:val="none" w:sz="0" w:space="0" w:color="auto"/>
        <w:right w:val="none" w:sz="0" w:space="0" w:color="auto"/>
      </w:divBdr>
      <w:divsChild>
        <w:div w:id="605507863">
          <w:marLeft w:val="1166"/>
          <w:marRight w:val="0"/>
          <w:marTop w:val="192"/>
          <w:marBottom w:val="0"/>
          <w:divBdr>
            <w:top w:val="none" w:sz="0" w:space="0" w:color="auto"/>
            <w:left w:val="none" w:sz="0" w:space="0" w:color="auto"/>
            <w:bottom w:val="none" w:sz="0" w:space="0" w:color="auto"/>
            <w:right w:val="none" w:sz="0" w:space="0" w:color="auto"/>
          </w:divBdr>
        </w:div>
        <w:div w:id="856046402">
          <w:marLeft w:val="1886"/>
          <w:marRight w:val="0"/>
          <w:marTop w:val="168"/>
          <w:marBottom w:val="0"/>
          <w:divBdr>
            <w:top w:val="none" w:sz="0" w:space="0" w:color="auto"/>
            <w:left w:val="none" w:sz="0" w:space="0" w:color="auto"/>
            <w:bottom w:val="none" w:sz="0" w:space="0" w:color="auto"/>
            <w:right w:val="none" w:sz="0" w:space="0" w:color="auto"/>
          </w:divBdr>
        </w:div>
        <w:div w:id="293023114">
          <w:marLeft w:val="1886"/>
          <w:marRight w:val="0"/>
          <w:marTop w:val="168"/>
          <w:marBottom w:val="0"/>
          <w:divBdr>
            <w:top w:val="none" w:sz="0" w:space="0" w:color="auto"/>
            <w:left w:val="none" w:sz="0" w:space="0" w:color="auto"/>
            <w:bottom w:val="none" w:sz="0" w:space="0" w:color="auto"/>
            <w:right w:val="none" w:sz="0" w:space="0" w:color="auto"/>
          </w:divBdr>
        </w:div>
        <w:div w:id="1565531926">
          <w:marLeft w:val="1886"/>
          <w:marRight w:val="0"/>
          <w:marTop w:val="168"/>
          <w:marBottom w:val="0"/>
          <w:divBdr>
            <w:top w:val="none" w:sz="0" w:space="0" w:color="auto"/>
            <w:left w:val="none" w:sz="0" w:space="0" w:color="auto"/>
            <w:bottom w:val="none" w:sz="0" w:space="0" w:color="auto"/>
            <w:right w:val="none" w:sz="0" w:space="0" w:color="auto"/>
          </w:divBdr>
        </w:div>
      </w:divsChild>
    </w:div>
    <w:div w:id="402340740">
      <w:bodyDiv w:val="1"/>
      <w:marLeft w:val="0"/>
      <w:marRight w:val="0"/>
      <w:marTop w:val="0"/>
      <w:marBottom w:val="0"/>
      <w:divBdr>
        <w:top w:val="none" w:sz="0" w:space="0" w:color="auto"/>
        <w:left w:val="none" w:sz="0" w:space="0" w:color="auto"/>
        <w:bottom w:val="none" w:sz="0" w:space="0" w:color="auto"/>
        <w:right w:val="none" w:sz="0" w:space="0" w:color="auto"/>
      </w:divBdr>
    </w:div>
    <w:div w:id="673848470">
      <w:bodyDiv w:val="1"/>
      <w:marLeft w:val="0"/>
      <w:marRight w:val="0"/>
      <w:marTop w:val="0"/>
      <w:marBottom w:val="0"/>
      <w:divBdr>
        <w:top w:val="none" w:sz="0" w:space="0" w:color="auto"/>
        <w:left w:val="none" w:sz="0" w:space="0" w:color="auto"/>
        <w:bottom w:val="none" w:sz="0" w:space="0" w:color="auto"/>
        <w:right w:val="none" w:sz="0" w:space="0" w:color="auto"/>
      </w:divBdr>
    </w:div>
    <w:div w:id="815493923">
      <w:bodyDiv w:val="1"/>
      <w:marLeft w:val="0"/>
      <w:marRight w:val="0"/>
      <w:marTop w:val="0"/>
      <w:marBottom w:val="0"/>
      <w:divBdr>
        <w:top w:val="none" w:sz="0" w:space="0" w:color="auto"/>
        <w:left w:val="none" w:sz="0" w:space="0" w:color="auto"/>
        <w:bottom w:val="none" w:sz="0" w:space="0" w:color="auto"/>
        <w:right w:val="none" w:sz="0" w:space="0" w:color="auto"/>
      </w:divBdr>
    </w:div>
    <w:div w:id="989211472">
      <w:bodyDiv w:val="1"/>
      <w:marLeft w:val="0"/>
      <w:marRight w:val="0"/>
      <w:marTop w:val="0"/>
      <w:marBottom w:val="0"/>
      <w:divBdr>
        <w:top w:val="none" w:sz="0" w:space="0" w:color="auto"/>
        <w:left w:val="none" w:sz="0" w:space="0" w:color="auto"/>
        <w:bottom w:val="none" w:sz="0" w:space="0" w:color="auto"/>
        <w:right w:val="none" w:sz="0" w:space="0" w:color="auto"/>
      </w:divBdr>
    </w:div>
    <w:div w:id="1217625487">
      <w:bodyDiv w:val="1"/>
      <w:marLeft w:val="0"/>
      <w:marRight w:val="0"/>
      <w:marTop w:val="0"/>
      <w:marBottom w:val="0"/>
      <w:divBdr>
        <w:top w:val="none" w:sz="0" w:space="0" w:color="auto"/>
        <w:left w:val="none" w:sz="0" w:space="0" w:color="auto"/>
        <w:bottom w:val="none" w:sz="0" w:space="0" w:color="auto"/>
        <w:right w:val="none" w:sz="0" w:space="0" w:color="auto"/>
      </w:divBdr>
    </w:div>
    <w:div w:id="1288731663">
      <w:bodyDiv w:val="1"/>
      <w:marLeft w:val="0"/>
      <w:marRight w:val="0"/>
      <w:marTop w:val="0"/>
      <w:marBottom w:val="0"/>
      <w:divBdr>
        <w:top w:val="none" w:sz="0" w:space="0" w:color="auto"/>
        <w:left w:val="none" w:sz="0" w:space="0" w:color="auto"/>
        <w:bottom w:val="none" w:sz="0" w:space="0" w:color="auto"/>
        <w:right w:val="none" w:sz="0" w:space="0" w:color="auto"/>
      </w:divBdr>
    </w:div>
    <w:div w:id="1320382317">
      <w:bodyDiv w:val="1"/>
      <w:marLeft w:val="0"/>
      <w:marRight w:val="0"/>
      <w:marTop w:val="0"/>
      <w:marBottom w:val="0"/>
      <w:divBdr>
        <w:top w:val="none" w:sz="0" w:space="0" w:color="auto"/>
        <w:left w:val="none" w:sz="0" w:space="0" w:color="auto"/>
        <w:bottom w:val="none" w:sz="0" w:space="0" w:color="auto"/>
        <w:right w:val="none" w:sz="0" w:space="0" w:color="auto"/>
      </w:divBdr>
    </w:div>
    <w:div w:id="1506093671">
      <w:bodyDiv w:val="1"/>
      <w:marLeft w:val="0"/>
      <w:marRight w:val="0"/>
      <w:marTop w:val="0"/>
      <w:marBottom w:val="0"/>
      <w:divBdr>
        <w:top w:val="none" w:sz="0" w:space="0" w:color="auto"/>
        <w:left w:val="none" w:sz="0" w:space="0" w:color="auto"/>
        <w:bottom w:val="none" w:sz="0" w:space="0" w:color="auto"/>
        <w:right w:val="none" w:sz="0" w:space="0" w:color="auto"/>
      </w:divBdr>
    </w:div>
    <w:div w:id="1522431638">
      <w:bodyDiv w:val="1"/>
      <w:marLeft w:val="0"/>
      <w:marRight w:val="0"/>
      <w:marTop w:val="0"/>
      <w:marBottom w:val="0"/>
      <w:divBdr>
        <w:top w:val="none" w:sz="0" w:space="0" w:color="auto"/>
        <w:left w:val="none" w:sz="0" w:space="0" w:color="auto"/>
        <w:bottom w:val="none" w:sz="0" w:space="0" w:color="auto"/>
        <w:right w:val="none" w:sz="0" w:space="0" w:color="auto"/>
      </w:divBdr>
    </w:div>
    <w:div w:id="1614945606">
      <w:bodyDiv w:val="1"/>
      <w:marLeft w:val="0"/>
      <w:marRight w:val="0"/>
      <w:marTop w:val="0"/>
      <w:marBottom w:val="0"/>
      <w:divBdr>
        <w:top w:val="none" w:sz="0" w:space="0" w:color="auto"/>
        <w:left w:val="none" w:sz="0" w:space="0" w:color="auto"/>
        <w:bottom w:val="none" w:sz="0" w:space="0" w:color="auto"/>
        <w:right w:val="none" w:sz="0" w:space="0" w:color="auto"/>
      </w:divBdr>
    </w:div>
    <w:div w:id="1644890644">
      <w:bodyDiv w:val="1"/>
      <w:marLeft w:val="0"/>
      <w:marRight w:val="0"/>
      <w:marTop w:val="0"/>
      <w:marBottom w:val="0"/>
      <w:divBdr>
        <w:top w:val="none" w:sz="0" w:space="0" w:color="auto"/>
        <w:left w:val="none" w:sz="0" w:space="0" w:color="auto"/>
        <w:bottom w:val="none" w:sz="0" w:space="0" w:color="auto"/>
        <w:right w:val="none" w:sz="0" w:space="0" w:color="auto"/>
      </w:divBdr>
    </w:div>
    <w:div w:id="1820000560">
      <w:bodyDiv w:val="1"/>
      <w:marLeft w:val="0"/>
      <w:marRight w:val="0"/>
      <w:marTop w:val="0"/>
      <w:marBottom w:val="0"/>
      <w:divBdr>
        <w:top w:val="none" w:sz="0" w:space="0" w:color="auto"/>
        <w:left w:val="none" w:sz="0" w:space="0" w:color="auto"/>
        <w:bottom w:val="none" w:sz="0" w:space="0" w:color="auto"/>
        <w:right w:val="none" w:sz="0" w:space="0" w:color="auto"/>
      </w:divBdr>
    </w:div>
    <w:div w:id="192934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Eri</b:Tag>
    <b:SourceType>Report</b:SourceType>
    <b:Guid>{CC7C2F69-EE1F-41C1-8B7E-5A24857CEE0B}</b:Guid>
    <b:Author>
      <b:Author>
        <b:Corporate>Ericsson</b:Corporate>
      </b:Author>
    </b:Author>
    <b:Title>RP-160667 WI: L2 latency reduction techniques for LTE</b:Title>
    <b:RefOrder>1</b:RefOrder>
  </b:Source>
</b:Sources>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6EC7A263-3EC3-422D-A093-61B0D017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2017-08-11T13:44:00Z</dcterms:created>
  <dcterms:modified xsi:type="dcterms:W3CDTF">2018-02-16T14:23:00Z</dcterms:modified>
</cp:coreProperties>
</file>